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95951">
      <w:pPr>
        <w:pStyle w:val="Title"/>
      </w:pPr>
      <w:r>
        <w:rPr>
          <w:rFonts w:ascii="Aptos" w:hAnsi="Aptos" w:cs="Aptos" w:eastAsia="Aptos"/>
          <w:color w:val="000000"/>
          <w:sz w:val="22"/>
          <w:szCs w:val="22"/>
        </w:rPr>
        <w:t>PLEIS PARTNER SERVICE AGREEMENT</w:t>
      </w:r>
    </w:p>
    <w:p w14:paraId="4415B433">
      <w:pPr>
        <w:pStyle w:val="Normal"/>
      </w:pPr>
      <w:r>
        <w:rPr>
          <w:rFonts w:ascii="Aptos" w:hAnsi="Aptos" w:cs="Aptos" w:eastAsia="Aptos"/>
          <w:color w:val="000000"/>
          <w:sz w:val="22"/>
          <w:szCs w:val="22"/>
        </w:rPr>
        <w:t>This Partner Service Agreement ("Agreement") is entered into by and between:</w:t>
      </w:r>
    </w:p>
    <w:p w14:paraId="385F2914">
      <w:pPr>
        <w:pStyle w:val="Normal"/>
      </w:pPr>
      <w:r>
        <w:rPr>
          <w:rFonts w:ascii="Aptos" w:hAnsi="Aptos" w:cs="Aptos" w:eastAsia="Aptos"/>
          <w:color w:val="000000"/>
          <w:sz w:val="22"/>
          <w:szCs w:val="22"/>
        </w:rPr>
        <w:t>UTOPIA TECHNOLOGIES d.o.o., a limited liability company incorporated under the laws of the Republic of Croatia, with its registered office at Trg Kardinala Alojzije Stepinca 9, Jastrebarsko, Croatia, registered with the Court Register of the Commercial Court in Zagreb under registration number (MBS): 081548831, OIB: 34839111725, e-mail: [●], telephone: [●] ("UTOPIA TECHNOLOGIES");</w:t>
      </w:r>
    </w:p>
    <w:p w14:paraId="2CA89DF5">
      <w:pPr>
        <w:pStyle w:val="Normal"/>
      </w:pPr>
      <w:r>
        <w:rPr>
          <w:rFonts w:ascii="Aptos" w:hAnsi="Aptos" w:cs="Aptos" w:eastAsia="Aptos"/>
          <w:color w:val="000000"/>
          <w:sz w:val="22"/>
          <w:szCs w:val="22"/>
        </w:rPr>
        <w:t>and</w:t>
      </w:r>
    </w:p>
    <w:p w14:paraId="20F212D6">
      <w:pPr>
        <w:pStyle w:val="Normal"/>
      </w:pPr>
      <w:r>
        <w:rPr>
          <w:rFonts w:ascii="Aptos" w:hAnsi="Aptos" w:cs="Aptos" w:eastAsia="Aptos"/>
          <w:color w:val="000000"/>
          <w:sz w:val="22"/>
          <w:szCs w:val="22"/>
        </w:rPr>
        <w:t>[PARTNER LEGAL NAME], a [legal form] incorporated under the laws of [country/jurisdiction], with its registered office at [registered address], registered under [registration number], OIB / tax identification number: [●], e-mail: [●], telephone: [●], represented by [name and title of authorised representative] ("Partner");</w:t>
      </w:r>
    </w:p>
    <w:p w14:paraId="153B87B7">
      <w:pPr>
        <w:pStyle w:val="Normal"/>
      </w:pPr>
      <w:r>
        <w:rPr>
          <w:rFonts w:ascii="Aptos" w:hAnsi="Aptos" w:cs="Aptos" w:eastAsia="Aptos"/>
          <w:color w:val="000000"/>
          <w:sz w:val="22"/>
          <w:szCs w:val="22"/>
        </w:rPr>
        <w:t>UTOPIA TECHNOLOGIES and the Partner are hereinafter referred to individually as a "Party" and collectively as the "Parties".</w:t>
      </w:r>
    </w:p>
    <w:p w14:paraId="0984FC98">
      <w:pPr>
        <w:pStyle w:val="Normal"/>
      </w:pPr>
      <w:r>
        <w:rPr>
          <w:rFonts w:ascii="Aptos" w:hAnsi="Aptos" w:cs="Aptos" w:eastAsia="Aptos"/>
          <w:color w:val="000000"/>
          <w:sz w:val="22"/>
          <w:szCs w:val="22"/>
        </w:rPr>
        <w:t xml:space="preserve">This Agreement is entered into on [●] ("Effective Date").</w:t>
      </w:r>
    </w:p>
    <w:p w14:paraId="60B829FC">
      <w:pPr>
        <w:pStyle w:val="Normal"/>
      </w:pPr>
      <w:r>
        <w:rPr>
          <w:rFonts w:ascii="Aptos" w:hAnsi="Aptos" w:cs="Aptos" w:eastAsia="Aptos"/>
          <w:color w:val="000000"/>
          <w:sz w:val="22"/>
          <w:szCs w:val="22"/>
        </w:rPr>
        <w:t>This Agreement is supplemental to the PLEIS Partner Terms and Conditions ("Partner Terms"), which are incorporated by reference and form an integral part of this Agreement. In the event of any conflict between this Agreement and the Partner Terms, the provisions of this Agreement shall prevail in respect of the commercial and financial terms governed herein. Capitalised terms not defined in this Agreement shall have the meanings assigned to them in the Partner Terms.</w:t>
      </w:r>
    </w:p>
    <w:p w14:paraId="4B323BDC">
      <w:pPr>
        <w:pStyle w:val="Normal"/>
        <w:numPr>
          <w:ilvl w:val="0"/>
          <w:numId w:val="10"/>
        </w:numPr>
      </w:pPr>
      <w:r>
        <w:rPr>
          <w:b/>
          <w:rFonts w:ascii="Aptos" w:hAnsi="Aptos" w:cs="Aptos" w:eastAsia="Aptos"/>
          <w:color w:val="000000"/>
          <w:sz w:val="22"/>
          <w:szCs w:val="22"/>
        </w:rPr>
        <w:t>SCOPE OF SERVICES AND ACTIVATED MODULES</w:t>
      </w:r>
    </w:p>
    <w:p w14:paraId="3966AF7E">
      <w:pPr>
        <w:pStyle w:val="Normal"/>
        <w:numPr>
          <w:ilvl w:val="1"/>
          <w:numId w:val="10"/>
        </w:numPr>
      </w:pPr>
      <w:r>
        <w:rPr>
          <w:rFonts w:ascii="Aptos" w:hAnsi="Aptos" w:cs="Aptos" w:eastAsia="Aptos"/>
          <w:color w:val="000000"/>
          <w:sz w:val="22"/>
          <w:szCs w:val="22"/>
        </w:rPr>
        <w:t>UTOPIA TECHNOLOGIES hereby grants the Partner access to the PLEIS Platform and the following modules and features (tick applicable):</w:t>
      </w:r>
    </w:p>
    <w:p w14:paraId="48CA6E9D">
      <w:pPr>
        <w:pStyle w:val="Normal"/>
        <w:numPr>
          <w:ilvl w:val="0"/>
          <w:numId w:val="11"/>
        </w:numPr>
      </w:pPr>
      <w:r>
        <w:rPr>
          <w:rFonts w:ascii="Aptos" w:hAnsi="Aptos" w:cs="Aptos" w:eastAsia="Aptos"/>
          <w:color w:val="000000"/>
          <w:sz w:val="22"/>
          <w:szCs w:val="22"/>
        </w:rPr>
        <w:t>[ ] Ticketing Module</w:t>
      </w:r>
    </w:p>
    <w:p w14:paraId="582E2DBC">
      <w:pPr>
        <w:pStyle w:val="Normal"/>
        <w:numPr>
          <w:ilvl w:val="0"/>
          <w:numId w:val="11"/>
        </w:numPr>
      </w:pPr>
      <w:r>
        <w:rPr>
          <w:rFonts w:ascii="Aptos" w:hAnsi="Aptos" w:cs="Aptos" w:eastAsia="Aptos"/>
          <w:color w:val="000000"/>
          <w:sz w:val="22"/>
          <w:szCs w:val="22"/>
        </w:rPr>
        <w:t>[ ] Reservation Module</w:t>
      </w:r>
    </w:p>
    <w:p w14:paraId="09247DBB">
      <w:pPr>
        <w:pStyle w:val="Normal"/>
        <w:numPr>
          <w:ilvl w:val="0"/>
          <w:numId w:val="11"/>
        </w:numPr>
      </w:pPr>
      <w:r>
        <w:rPr>
          <w:rFonts w:ascii="Aptos" w:hAnsi="Aptos" w:cs="Aptos" w:eastAsia="Aptos"/>
          <w:color w:val="000000"/>
          <w:sz w:val="22"/>
          <w:szCs w:val="22"/>
        </w:rPr>
        <w:t>[ ] Ordering Module (on-site ordering)</w:t>
      </w:r>
    </w:p>
    <w:p w14:paraId="18883CDA">
      <w:pPr>
        <w:pStyle w:val="Normal"/>
        <w:numPr>
          <w:ilvl w:val="0"/>
          <w:numId w:val="11"/>
        </w:numPr>
      </w:pPr>
      <w:r>
        <w:rPr>
          <w:rFonts w:ascii="Aptos" w:hAnsi="Aptos" w:cs="Aptos" w:eastAsia="Aptos"/>
          <w:color w:val="000000"/>
          <w:sz w:val="22"/>
          <w:szCs w:val="22"/>
        </w:rPr>
        <w:t>[ ] Loyalty System (PLEIS Global Loyalty Programme and/or Partner Loyalty Club)</w:t>
      </w:r>
    </w:p>
    <w:p w14:paraId="27EBFBF9">
      <w:pPr>
        <w:pStyle w:val="Normal"/>
        <w:numPr>
          <w:ilvl w:val="0"/>
          <w:numId w:val="11"/>
        </w:numPr>
      </w:pPr>
      <w:r>
        <w:rPr>
          <w:rFonts w:ascii="Aptos" w:hAnsi="Aptos" w:cs="Aptos" w:eastAsia="Aptos"/>
          <w:color w:val="000000"/>
          <w:sz w:val="22"/>
          <w:szCs w:val="22"/>
        </w:rPr>
        <w:t>[ ] Partner Dashboard and Analytics</w:t>
      </w:r>
    </w:p>
    <w:p w14:paraId="374FBB18">
      <w:pPr>
        <w:pStyle w:val="Normal"/>
        <w:numPr>
          <w:ilvl w:val="0"/>
          <w:numId w:val="11"/>
        </w:numPr>
      </w:pPr>
      <w:r>
        <w:rPr>
          <w:rFonts w:ascii="Aptos" w:hAnsi="Aptos" w:cs="Aptos" w:eastAsia="Aptos"/>
          <w:color w:val="000000"/>
          <w:sz w:val="22"/>
          <w:szCs w:val="22"/>
        </w:rPr>
        <w:t>[ ] Promotional Tools</w:t>
      </w:r>
    </w:p>
    <w:p w14:paraId="46B37A37">
      <w:pPr>
        <w:pStyle w:val="Normal"/>
        <w:numPr>
          <w:ilvl w:val="0"/>
          <w:numId w:val="11"/>
        </w:numPr>
      </w:pPr>
      <w:r>
        <w:rPr>
          <w:rFonts w:ascii="Aptos" w:hAnsi="Aptos" w:cs="Aptos" w:eastAsia="Aptos"/>
          <w:color w:val="000000"/>
          <w:sz w:val="22"/>
          <w:szCs w:val="22"/>
        </w:rPr>
        <w:t>[ ] Staff and Access Management</w:t>
      </w:r>
    </w:p>
    <w:p w14:paraId="48CA6E9D">
      <w:pPr>
        <w:pStyle w:val="Normal"/>
        <w:numPr>
          <w:ilvl w:val="0"/>
          <w:numId w:val="11"/>
        </w:numPr>
      </w:pPr>
      <w:r>
        <w:rPr>
          <w:rFonts w:ascii="Aptos" w:hAnsi="Aptos" w:cs="Aptos" w:eastAsia="Aptos"/>
          <w:color w:val="000000"/>
          <w:sz w:val="22"/>
          <w:szCs w:val="22"/>
        </w:rPr>
        <w:t xml:space="preserve">[ ] Fiscalisation Module (issuing and fiscalisation of invoices through the BillKO system)</w:t>
      </w:r>
    </w:p>
    <w:p w14:paraId="77A9CA36">
      <w:pPr>
        <w:pStyle w:val="Normal"/>
        <w:numPr>
          <w:ilvl w:val="0"/>
          <w:numId w:val="11"/>
        </w:numPr>
      </w:pPr>
      <w:r>
        <w:rPr>
          <w:rFonts w:ascii="Aptos" w:hAnsi="Aptos" w:cs="Aptos" w:eastAsia="Aptos"/>
          <w:color w:val="000000"/>
          <w:sz w:val="22"/>
          <w:szCs w:val="22"/>
        </w:rPr>
        <w:t>[ ] Other: [specify]</w:t>
      </w:r>
    </w:p>
    <w:p w14:paraId="070D8955">
      <w:pPr>
        <w:pStyle w:val="Normal"/>
        <w:numPr>
          <w:ilvl w:val="1"/>
          <w:numId w:val="10"/>
        </w:numPr>
      </w:pPr>
      <w:r>
        <w:rPr>
          <w:rFonts w:ascii="Aptos" w:hAnsi="Aptos" w:cs="Aptos" w:eastAsia="Aptos"/>
          <w:color w:val="000000"/>
          <w:sz w:val="22"/>
          <w:szCs w:val="22"/>
        </w:rPr>
        <w:t>The technical specifications, usage limits, and any additional conditions applicable to the activated modules are set out in Annex 1 (Technical Specifications) to this Agreement, if applicable.</w:t>
      </w:r>
    </w:p>
    <w:p w14:paraId="167AD43F">
      <w:pPr>
        <w:pStyle w:val="Normal"/>
        <w:numPr>
          <w:ilvl w:val="1"/>
          <w:numId w:val="10"/>
        </w:numPr>
      </w:pPr>
      <w:r>
        <w:rPr>
          <w:rFonts w:ascii="Aptos" w:hAnsi="Aptos" w:cs="Aptos" w:eastAsia="Aptos"/>
          <w:color w:val="000000"/>
          <w:sz w:val="22"/>
          <w:szCs w:val="22"/>
        </w:rPr>
        <w:t>UTOPIA TECHNOLOGIES reserves the right to make technical improvements, updates, and modifications to the Platform and its modules, provided that such changes do not materially reduce the core functionality available to the Partner. Material changes will be notified in accordance with the Partner Terms.</w:t>
      </w:r>
    </w:p>
    <w:p w14:paraId="25DE935E">
      <w:pPr>
        <w:pStyle w:val="Normal"/>
        <w:numPr>
          <w:ilvl w:val="0"/>
          <w:numId w:val="10"/>
        </w:numPr>
      </w:pPr>
      <w:r>
        <w:rPr>
          <w:b/>
          <w:rFonts w:ascii="Aptos" w:hAnsi="Aptos" w:cs="Aptos" w:eastAsia="Aptos"/>
          <w:color w:val="000000"/>
          <w:sz w:val="22"/>
          <w:szCs w:val="22"/>
        </w:rPr>
        <w:t>ACCOUNT TYPE AND TIER</w:t>
      </w:r>
    </w:p>
    <w:p w14:paraId="5E8688A8">
      <w:pPr>
        <w:pStyle w:val="Normal"/>
        <w:numPr>
          <w:ilvl w:val="1"/>
          <w:numId w:val="10"/>
        </w:numPr>
      </w:pPr>
      <w:r>
        <w:rPr>
          <w:rFonts w:ascii="Aptos" w:hAnsi="Aptos" w:cs="Aptos" w:eastAsia="Aptos"/>
          <w:color w:val="000000"/>
          <w:sz w:val="22"/>
          <w:szCs w:val="22"/>
        </w:rPr>
        <w:t>The Partner is registered on the Platform under the following account type and tier:</w:t>
      </w:r>
    </w:p>
    <w:p w14:paraId="6DEA47DC">
      <w:pPr>
        <w:pStyle w:val="Normal"/>
        <w:numPr>
          <w:ilvl w:val="0"/>
          <w:numId w:val="12"/>
        </w:numPr>
      </w:pPr>
      <w:r>
        <w:rPr>
          <w:rFonts w:ascii="Aptos" w:hAnsi="Aptos" w:cs="Aptos" w:eastAsia="Aptos"/>
          <w:color w:val="000000"/>
          <w:sz w:val="22"/>
          <w:szCs w:val="22"/>
        </w:rPr>
        <w:t>Account type: [ ] Standard [ ] Premium [ ] Enterprise [ ] Other: [specify]</w:t>
      </w:r>
    </w:p>
    <w:p w14:paraId="7D4E06FB">
      <w:pPr>
        <w:pStyle w:val="Normal"/>
        <w:numPr>
          <w:ilvl w:val="0"/>
          <w:numId w:val="12"/>
        </w:numPr>
      </w:pPr>
      <w:r>
        <w:rPr>
          <w:rFonts w:ascii="Aptos" w:hAnsi="Aptos" w:cs="Aptos" w:eastAsia="Aptos"/>
          <w:color w:val="000000"/>
          <w:sz w:val="22"/>
          <w:szCs w:val="22"/>
        </w:rPr>
        <w:t>Partner category: [ ] Hospitality venue (restaurant, bar, club, cafe) [ ] Event organiser [ ] Cultural institution [ ] Sports venue [ ] Merchant / retailer [ ] Other: [specify]</w:t>
      </w:r>
    </w:p>
    <w:p w14:paraId="0CB1C61A">
      <w:pPr>
        <w:pStyle w:val="Normal"/>
        <w:numPr>
          <w:ilvl w:val="1"/>
          <w:numId w:val="10"/>
        </w:numPr>
      </w:pPr>
      <w:r>
        <w:rPr>
          <w:rFonts w:ascii="Aptos" w:hAnsi="Aptos" w:cs="Aptos" w:eastAsia="Aptos"/>
          <w:color w:val="000000"/>
          <w:sz w:val="22"/>
          <w:szCs w:val="22"/>
        </w:rPr>
        <w:t>The account type determines the scope of available modules, the volume of transactions permitted per billing period, customer support priority, and access to dedicated account management services, as further described in Annex 1.</w:t>
      </w:r>
    </w:p>
    <w:p w14:paraId="1C158539">
      <w:pPr>
        <w:pStyle w:val="Normal"/>
        <w:numPr>
          <w:ilvl w:val="0"/>
          <w:numId w:val="10"/>
        </w:numPr>
      </w:pPr>
      <w:r>
        <w:rPr>
          <w:b/>
          <w:rFonts w:ascii="Aptos" w:hAnsi="Aptos" w:cs="Aptos" w:eastAsia="Aptos"/>
          <w:color w:val="000000"/>
          <w:sz w:val="22"/>
          <w:szCs w:val="22"/>
        </w:rPr>
        <w:t>TRANSACTION FEE STRUCTURE</w:t>
      </w:r>
    </w:p>
    <w:p w14:paraId="54BD7A98">
      <w:pPr>
        <w:pStyle w:val="Normal"/>
        <w:numPr>
          <w:ilvl w:val="1"/>
          <w:numId w:val="10"/>
        </w:numPr>
      </w:pPr>
      <w:r>
        <w:rPr>
          <w:rFonts w:ascii="Aptos" w:hAnsi="Aptos" w:cs="Aptos" w:eastAsia="Aptos"/>
          <w:color w:val="000000"/>
          <w:sz w:val="22"/>
          <w:szCs w:val="22"/>
        </w:rPr>
        <w:t>In consideration for the Intermediary Services provided by UTOPIA TECHNOLOGIES through the Platform, the Partner agrees to pay Transaction Fees in accordance with the following structure:</w:t>
      </w:r>
    </w:p>
    <w:tbl>
      <w:tblPr>
        <w:tblW w:w="5000" w:type="pct"/>
        <w:tblLayout/>
        <w:tblBorders>
          <w:top w:val="single" w:sz="8" w:color="000000"/>
          <w:left w:val="single" w:sz="8" w:color="000000"/>
          <w:bottom w:val="single" w:sz="8" w:color="000000"/>
          <w:right w:val="single" w:sz="8" w:color="000000"/>
          <w:insideH w:val="single" w:sz="8" w:color="000000"/>
          <w:insideV w:val="single" w:sz="8" w:color="000000"/>
        </w:tblBorders>
        <w:tblLook w:firstRow="1" w:val="04A0"/>
      </w:tblPr>
      <w:tblGrid>
        <w:gridCol w:w="1815"/>
        <w:gridCol w:w="1815"/>
        <w:gridCol w:w="1814"/>
        <w:gridCol w:w="1814"/>
        <w:gridCol w:w="1814"/>
      </w:tblGrid>
      <w:tr>
        <w:tc>
          <w:tcPr>
            <w:tcW w:w="1815" w:type="dxa"/>
          </w:tcPr>
          <w:p w14:paraId="7D4E06FC">
            <w:r>
              <w:rPr>
                <w:rFonts w:ascii="Aptos" w:hAnsi="Aptos" w:cs="Aptos" w:eastAsia="Aptos"/>
                <w:color w:val="000000"/>
                <w:sz w:val="22"/>
                <w:szCs w:val="22"/>
              </w:rPr>
              <w:t xml:space="preserve">Module / Service</w:t>
            </w:r>
          </w:p>
        </w:tc>
        <w:tc>
          <w:tcPr>
            <w:tcW w:w="1815" w:type="dxa"/>
          </w:tcPr>
          <w:p w14:paraId="7D4E06FD">
            <w:r>
              <w:rPr>
                <w:rFonts w:ascii="Aptos" w:hAnsi="Aptos" w:cs="Aptos" w:eastAsia="Aptos"/>
                <w:color w:val="000000"/>
                <w:sz w:val="22"/>
                <w:szCs w:val="22"/>
              </w:rPr>
              <w:t xml:space="preserve">Fee Type</w:t>
            </w:r>
          </w:p>
        </w:tc>
        <w:tc>
          <w:tcPr>
            <w:tcW w:w="1814" w:type="dxa"/>
          </w:tcPr>
          <w:p w14:paraId="7D4E06FE">
            <w:r>
              <w:rPr>
                <w:rFonts w:ascii="Aptos" w:hAnsi="Aptos" w:cs="Aptos" w:eastAsia="Aptos"/>
                <w:color w:val="000000"/>
                <w:sz w:val="22"/>
                <w:szCs w:val="22"/>
              </w:rPr>
              <w:t xml:space="preserve">Fee Rate / Amount</w:t>
            </w:r>
          </w:p>
        </w:tc>
        <w:tc>
          <w:tcPr>
            <w:tcW w:w="1814" w:type="dxa"/>
          </w:tcPr>
          <w:p w14:paraId="7D4E06FF">
            <w:r>
              <w:rPr>
                <w:rFonts w:ascii="Aptos" w:hAnsi="Aptos" w:cs="Aptos" w:eastAsia="Aptos"/>
                <w:color w:val="000000"/>
                <w:sz w:val="22"/>
                <w:szCs w:val="22"/>
              </w:rPr>
              <w:t xml:space="preserve">Charged To</w:t>
            </w:r>
          </w:p>
        </w:tc>
        <w:tc>
          <w:tcPr>
            <w:tcW w:w="1814" w:type="dxa"/>
          </w:tcPr>
          <w:p w14:paraId="7D4E0700">
            <w:r>
              <w:rPr>
                <w:rFonts w:ascii="Aptos" w:hAnsi="Aptos" w:cs="Aptos" w:eastAsia="Aptos"/>
                <w:color w:val="000000"/>
                <w:sz w:val="22"/>
                <w:szCs w:val="22"/>
              </w:rPr>
              <w:t xml:space="preserve">Notes</w:t>
            </w:r>
          </w:p>
        </w:tc>
      </w:tr>
      <w:tr>
        <w:tc>
          <w:tcPr>
            <w:tcW w:w="1815" w:type="dxa"/>
          </w:tcPr>
          <w:p w14:paraId="7D4E0701">
            <w:r>
              <w:rPr>
                <w:rFonts w:ascii="Aptos" w:hAnsi="Aptos" w:cs="Aptos" w:eastAsia="Aptos"/>
                <w:color w:val="000000"/>
                <w:sz w:val="22"/>
                <w:szCs w:val="22"/>
              </w:rPr>
              <w:t xml:space="preserve">Ticketing Module</w:t>
            </w:r>
          </w:p>
        </w:tc>
        <w:tc>
          <w:tcPr>
            <w:tcW w:w="1815" w:type="dxa"/>
          </w:tcPr>
          <w:p w14:paraId="7D4E0702">
            <w:r>
              <w:rPr>
                <w:rFonts w:ascii="Aptos" w:hAnsi="Aptos" w:cs="Aptos" w:eastAsia="Aptos"/>
                <w:color w:val="000000"/>
                <w:sz w:val="22"/>
                <w:szCs w:val="22"/>
              </w:rPr>
              <w:t xml:space="preserve">Transaction fee per ticket sold</w:t>
            </w:r>
          </w:p>
        </w:tc>
        <w:tc>
          <w:tcPr>
            <w:tcW w:w="1814" w:type="dxa"/>
          </w:tcPr>
          <w:p w14:paraId="7D4E0703">
            <w:r>
              <w:rPr>
                <w:rFonts w:ascii="Aptos" w:hAnsi="Aptos" w:cs="Aptos" w:eastAsia="Aptos"/>
                <w:color w:val="000000"/>
                <w:sz w:val="22"/>
                <w:szCs w:val="22"/>
              </w:rPr>
              <w:t xml:space="preserve">[●]% per transaction</w:t>
            </w:r>
          </w:p>
        </w:tc>
        <w:tc>
          <w:tcPr>
            <w:tcW w:w="1814" w:type="dxa"/>
          </w:tcPr>
          <w:p w14:paraId="7D4E0704">
            <w:r>
              <w:rPr>
                <w:rFonts w:ascii="Aptos" w:hAnsi="Aptos" w:cs="Aptos" w:eastAsia="Aptos"/>
                <w:color w:val="000000"/>
                <w:sz w:val="22"/>
                <w:szCs w:val="22"/>
              </w:rPr>
              <w:t xml:space="preserve">[ ] Partner [ ] Customer [ ] Split</w:t>
            </w:r>
          </w:p>
        </w:tc>
        <w:tc>
          <w:tcPr>
            <w:tcW w:w="1814" w:type="dxa"/>
          </w:tcPr>
          <w:p w14:paraId="7D4E0705">
            <w:r>
              <w:rPr>
                <w:rFonts w:ascii="Aptos" w:hAnsi="Aptos" w:cs="Aptos" w:eastAsia="Aptos"/>
                <w:color w:val="000000"/>
                <w:sz w:val="22"/>
                <w:szCs w:val="22"/>
              </w:rPr>
              <w:t xml:space="preserve">[e.g. minimum EUR [●] per transaction]</w:t>
            </w:r>
          </w:p>
        </w:tc>
      </w:tr>
      <w:tr>
        <w:tc>
          <w:tcPr>
            <w:tcW w:w="1815" w:type="dxa"/>
          </w:tcPr>
          <w:p w14:paraId="7D4E0706">
            <w:r>
              <w:rPr>
                <w:rFonts w:ascii="Aptos" w:hAnsi="Aptos" w:cs="Aptos" w:eastAsia="Aptos"/>
                <w:color w:val="000000"/>
                <w:sz w:val="22"/>
                <w:szCs w:val="22"/>
              </w:rPr>
              <w:t xml:space="preserve">Reservation Module</w:t>
            </w:r>
          </w:p>
        </w:tc>
        <w:tc>
          <w:tcPr>
            <w:tcW w:w="1815" w:type="dxa"/>
          </w:tcPr>
          <w:p w14:paraId="7D4E0707">
            <w:r>
              <w:rPr>
                <w:rFonts w:ascii="Aptos" w:hAnsi="Aptos" w:cs="Aptos" w:eastAsia="Aptos"/>
                <w:color w:val="000000"/>
                <w:sz w:val="22"/>
                <w:szCs w:val="22"/>
              </w:rPr>
              <w:t xml:space="preserve">Transaction fee per reservation</w:t>
            </w:r>
          </w:p>
        </w:tc>
        <w:tc>
          <w:tcPr>
            <w:tcW w:w="1814" w:type="dxa"/>
          </w:tcPr>
          <w:p w14:paraId="7D4E0708">
            <w:r>
              <w:rPr>
                <w:rFonts w:ascii="Aptos" w:hAnsi="Aptos" w:cs="Aptos" w:eastAsia="Aptos"/>
                <w:color w:val="000000"/>
                <w:sz w:val="22"/>
                <w:szCs w:val="22"/>
              </w:rPr>
              <w:t xml:space="preserve">[●]% per reservation</w:t>
            </w:r>
          </w:p>
        </w:tc>
        <w:tc>
          <w:tcPr>
            <w:tcW w:w="1814" w:type="dxa"/>
          </w:tcPr>
          <w:p w14:paraId="7D4E0709">
            <w:r>
              <w:rPr>
                <w:rFonts w:ascii="Aptos" w:hAnsi="Aptos" w:cs="Aptos" w:eastAsia="Aptos"/>
                <w:color w:val="000000"/>
                <w:sz w:val="22"/>
                <w:szCs w:val="22"/>
              </w:rPr>
              <w:t xml:space="preserve">[ ] Partner [ ] Customer [ ] Split</w:t>
            </w:r>
          </w:p>
        </w:tc>
        <w:tc>
          <w:tcPr>
            <w:tcW w:w="1814" w:type="dxa"/>
          </w:tcPr>
          <w:p w14:paraId="7D4E070A">
            <w:r>
              <w:rPr>
                <w:rFonts w:ascii="Aptos" w:hAnsi="Aptos" w:cs="Aptos" w:eastAsia="Aptos"/>
                <w:color w:val="000000"/>
                <w:sz w:val="22"/>
                <w:szCs w:val="22"/>
              </w:rPr>
              <w:t xml:space="preserve">[e.g. prepaid reservations only]</w:t>
            </w:r>
          </w:p>
        </w:tc>
      </w:tr>
      <w:tr>
        <w:tc>
          <w:tcPr>
            <w:tcW w:w="1815" w:type="dxa"/>
          </w:tcPr>
          <w:p w14:paraId="7D4E070B">
            <w:r>
              <w:rPr>
                <w:rFonts w:ascii="Aptos" w:hAnsi="Aptos" w:cs="Aptos" w:eastAsia="Aptos"/>
                <w:color w:val="000000"/>
                <w:sz w:val="22"/>
                <w:szCs w:val="22"/>
              </w:rPr>
              <w:t xml:space="preserve">Ordering Module</w:t>
            </w:r>
          </w:p>
        </w:tc>
        <w:tc>
          <w:tcPr>
            <w:tcW w:w="1815" w:type="dxa"/>
          </w:tcPr>
          <w:p w14:paraId="7D4E070C">
            <w:r>
              <w:rPr>
                <w:rFonts w:ascii="Aptos" w:hAnsi="Aptos" w:cs="Aptos" w:eastAsia="Aptos"/>
                <w:color w:val="000000"/>
                <w:sz w:val="22"/>
                <w:szCs w:val="22"/>
              </w:rPr>
              <w:t xml:space="preserve">Transaction fee per order</w:t>
            </w:r>
          </w:p>
        </w:tc>
        <w:tc>
          <w:tcPr>
            <w:tcW w:w="1814" w:type="dxa"/>
          </w:tcPr>
          <w:p w14:paraId="7D4E070D">
            <w:r>
              <w:rPr>
                <w:rFonts w:ascii="Aptos" w:hAnsi="Aptos" w:cs="Aptos" w:eastAsia="Aptos"/>
                <w:color w:val="000000"/>
                <w:sz w:val="22"/>
                <w:szCs w:val="22"/>
              </w:rPr>
              <w:t xml:space="preserve">[●]% per order</w:t>
            </w:r>
          </w:p>
        </w:tc>
        <w:tc>
          <w:tcPr>
            <w:tcW w:w="1814" w:type="dxa"/>
          </w:tcPr>
          <w:p w14:paraId="7D4E070E">
            <w:r>
              <w:rPr>
                <w:rFonts w:ascii="Aptos" w:hAnsi="Aptos" w:cs="Aptos" w:eastAsia="Aptos"/>
                <w:color w:val="000000"/>
                <w:sz w:val="22"/>
                <w:szCs w:val="22"/>
              </w:rPr>
              <w:t xml:space="preserve">[ ] Partner [ ] Customer [ ] Split</w:t>
            </w:r>
          </w:p>
        </w:tc>
        <w:tc>
          <w:tcPr>
            <w:tcW w:w="1814" w:type="dxa"/>
          </w:tcPr>
          <w:p w14:paraId="7D4E070F">
            <w:r>
              <w:rPr>
                <w:rFonts w:ascii="Aptos" w:hAnsi="Aptos" w:cs="Aptos" w:eastAsia="Aptos"/>
                <w:color w:val="000000"/>
                <w:sz w:val="22"/>
                <w:szCs w:val="22"/>
              </w:rPr>
              <w:t xml:space="preserve">[e.g. applicable to all on-site orders]</w:t>
            </w:r>
          </w:p>
        </w:tc>
      </w:tr>
      <w:tr>
        <w:tc>
          <w:tcPr>
            <w:tcW w:w="1815" w:type="dxa"/>
          </w:tcPr>
          <w:p w14:paraId="7D4E0710">
            <w:r>
              <w:rPr>
                <w:rFonts w:ascii="Aptos" w:hAnsi="Aptos" w:cs="Aptos" w:eastAsia="Aptos"/>
                <w:color w:val="000000"/>
                <w:sz w:val="22"/>
                <w:szCs w:val="22"/>
              </w:rPr>
              <w:t xml:space="preserve">Loyalty System</w:t>
            </w:r>
          </w:p>
        </w:tc>
        <w:tc>
          <w:tcPr>
            <w:tcW w:w="1815" w:type="dxa"/>
          </w:tcPr>
          <w:p w14:paraId="7D4E0711">
            <w:r>
              <w:rPr>
                <w:rFonts w:ascii="Aptos" w:hAnsi="Aptos" w:cs="Aptos" w:eastAsia="Aptos"/>
                <w:color w:val="000000"/>
                <w:sz w:val="22"/>
                <w:szCs w:val="22"/>
              </w:rPr>
              <w:t xml:space="preserve">Monthly flat fee or % of enrolled loyalty transactions</w:t>
            </w:r>
          </w:p>
        </w:tc>
        <w:tc>
          <w:tcPr>
            <w:tcW w:w="1814" w:type="dxa"/>
          </w:tcPr>
          <w:p w14:paraId="7D4E0712">
            <w:r>
              <w:rPr>
                <w:rFonts w:ascii="Aptos" w:hAnsi="Aptos" w:cs="Aptos" w:eastAsia="Aptos"/>
                <w:color w:val="000000"/>
                <w:sz w:val="22"/>
                <w:szCs w:val="22"/>
              </w:rPr>
              <w:t xml:space="preserve">[●]</w:t>
            </w:r>
          </w:p>
        </w:tc>
        <w:tc>
          <w:tcPr>
            <w:tcW w:w="1814" w:type="dxa"/>
          </w:tcPr>
          <w:p w14:paraId="7D4E0713">
            <w:r>
              <w:rPr>
                <w:rFonts w:ascii="Aptos" w:hAnsi="Aptos" w:cs="Aptos" w:eastAsia="Aptos"/>
                <w:color w:val="000000"/>
                <w:sz w:val="22"/>
                <w:szCs w:val="22"/>
              </w:rPr>
              <w:t xml:space="preserve">[ ] Partner</w:t>
            </w:r>
          </w:p>
        </w:tc>
        <w:tc>
          <w:tcPr>
            <w:tcW w:w="1814" w:type="dxa"/>
          </w:tcPr>
          <w:p w14:paraId="7D4E0714">
            <w:r>
              <w:rPr>
                <w:rFonts w:ascii="Aptos" w:hAnsi="Aptos" w:cs="Aptos" w:eastAsia="Aptos"/>
                <w:color w:val="000000"/>
                <w:sz w:val="22"/>
                <w:szCs w:val="22"/>
              </w:rPr>
              <w:t xml:space="preserve">[e.g. waived for first [●] months]</w:t>
            </w:r>
          </w:p>
        </w:tc>
      </w:tr>
      <w:tr>
        <w:tc>
          <w:tcPr>
            <w:tcW w:w="1815" w:type="dxa"/>
          </w:tcPr>
          <w:p w14:paraId="7D4E0715">
            <w:r>
              <w:rPr>
                <w:rFonts w:ascii="Aptos" w:hAnsi="Aptos" w:cs="Aptos" w:eastAsia="Aptos"/>
                <w:color w:val="000000"/>
                <w:sz w:val="22"/>
                <w:szCs w:val="22"/>
              </w:rPr>
              <w:t xml:space="preserve">Promotional Tools</w:t>
            </w:r>
          </w:p>
        </w:tc>
        <w:tc>
          <w:tcPr>
            <w:tcW w:w="1815" w:type="dxa"/>
          </w:tcPr>
          <w:p w14:paraId="7D4E0716">
            <w:r>
              <w:rPr>
                <w:rFonts w:ascii="Aptos" w:hAnsi="Aptos" w:cs="Aptos" w:eastAsia="Aptos"/>
                <w:color w:val="000000"/>
                <w:sz w:val="22"/>
                <w:szCs w:val="22"/>
              </w:rPr>
              <w:t xml:space="preserve">Per campaign or monthly subscription</w:t>
            </w:r>
          </w:p>
        </w:tc>
        <w:tc>
          <w:tcPr>
            <w:tcW w:w="1814" w:type="dxa"/>
          </w:tcPr>
          <w:p w14:paraId="7D4E0717">
            <w:r>
              <w:rPr>
                <w:rFonts w:ascii="Aptos" w:hAnsi="Aptos" w:cs="Aptos" w:eastAsia="Aptos"/>
                <w:color w:val="000000"/>
                <w:sz w:val="22"/>
                <w:szCs w:val="22"/>
              </w:rPr>
              <w:t xml:space="preserve">[●]</w:t>
            </w:r>
          </w:p>
        </w:tc>
        <w:tc>
          <w:tcPr>
            <w:tcW w:w="1814" w:type="dxa"/>
          </w:tcPr>
          <w:p w14:paraId="7D4E0718">
            <w:r>
              <w:rPr>
                <w:rFonts w:ascii="Aptos" w:hAnsi="Aptos" w:cs="Aptos" w:eastAsia="Aptos"/>
                <w:color w:val="000000"/>
                <w:sz w:val="22"/>
                <w:szCs w:val="22"/>
              </w:rPr>
              <w:t xml:space="preserve">[ ] Partner</w:t>
            </w:r>
          </w:p>
        </w:tc>
        <w:tc>
          <w:tcPr>
            <w:tcW w:w="1814" w:type="dxa"/>
          </w:tcPr>
          <w:p w14:paraId="7D4E0719">
            <w:r>
              <w:rPr>
                <w:rFonts w:ascii="Aptos" w:hAnsi="Aptos" w:cs="Aptos" w:eastAsia="Aptos"/>
                <w:color w:val="000000"/>
                <w:sz w:val="22"/>
                <w:szCs w:val="22"/>
              </w:rPr>
              <w:t xml:space="preserve">[e.g. optional, as activated]</w:t>
            </w:r>
          </w:p>
        </w:tc>
      </w:tr>
      <w:tr>
        <w:tc>
          <w:tcPr>
            <w:tcW w:w="1815" w:type="dxa"/>
          </w:tcPr>
          <w:p w14:paraId="7D4E071A">
            <w:r>
              <w:rPr>
                <w:rFonts w:ascii="Aptos" w:hAnsi="Aptos" w:cs="Aptos" w:eastAsia="Aptos"/>
                <w:color w:val="000000"/>
                <w:sz w:val="22"/>
                <w:szCs w:val="22"/>
              </w:rPr>
              <w:t xml:space="preserve">Platform subscription / access fee</w:t>
            </w:r>
          </w:p>
        </w:tc>
        <w:tc>
          <w:tcPr>
            <w:tcW w:w="1815" w:type="dxa"/>
          </w:tcPr>
          <w:p w14:paraId="7D4E071B">
            <w:r>
              <w:rPr>
                <w:rFonts w:ascii="Aptos" w:hAnsi="Aptos" w:cs="Aptos" w:eastAsia="Aptos"/>
                <w:color w:val="000000"/>
                <w:sz w:val="22"/>
                <w:szCs w:val="22"/>
              </w:rPr>
              <w:t xml:space="preserve">Monthly / annual fee</w:t>
            </w:r>
          </w:p>
        </w:tc>
        <w:tc>
          <w:tcPr>
            <w:tcW w:w="1814" w:type="dxa"/>
          </w:tcPr>
          <w:p w14:paraId="7D4E071C">
            <w:r>
              <w:rPr>
                <w:rFonts w:ascii="Aptos" w:hAnsi="Aptos" w:cs="Aptos" w:eastAsia="Aptos"/>
                <w:color w:val="000000"/>
                <w:sz w:val="22"/>
                <w:szCs w:val="22"/>
              </w:rPr>
              <w:t xml:space="preserve">EUR [●] / month</w:t>
            </w:r>
          </w:p>
        </w:tc>
        <w:tc>
          <w:tcPr>
            <w:tcW w:w="1814" w:type="dxa"/>
          </w:tcPr>
          <w:p w14:paraId="7D4E071D">
            <w:r>
              <w:rPr>
                <w:rFonts w:ascii="Aptos" w:hAnsi="Aptos" w:cs="Aptos" w:eastAsia="Aptos"/>
                <w:color w:val="000000"/>
                <w:sz w:val="22"/>
                <w:szCs w:val="22"/>
              </w:rPr>
              <w:t xml:space="preserve">[ ] Partner</w:t>
            </w:r>
          </w:p>
        </w:tc>
        <w:tc>
          <w:tcPr>
            <w:tcW w:w="1814" w:type="dxa"/>
          </w:tcPr>
          <w:p w14:paraId="7D4E071E">
            <w:r>
              <w:rPr>
                <w:rFonts w:ascii="Aptos" w:hAnsi="Aptos" w:cs="Aptos" w:eastAsia="Aptos"/>
                <w:color w:val="000000"/>
                <w:sz w:val="22"/>
                <w:szCs w:val="22"/>
              </w:rPr>
              <w:t xml:space="preserve">[if applicable to account tier]</w:t>
            </w:r>
          </w:p>
        </w:tc>
      </w:tr>
      <w:tr>
        <w:tc>
          <w:tcPr>
            <w:tcW w:w="1815" w:type="dxa"/>
          </w:tcPr>
          <w:p w14:paraId="7D4E071A">
            <w:r>
              <w:rPr>
                <w:rFonts w:ascii="Aptos" w:hAnsi="Aptos" w:cs="Aptos" w:eastAsia="Aptos"/>
                <w:color w:val="000000"/>
                <w:sz w:val="22"/>
                <w:szCs w:val="22"/>
              </w:rPr>
              <w:t xml:space="preserve">Fiscalisation Module (BillKO)</w:t>
            </w:r>
          </w:p>
        </w:tc>
        <w:tc>
          <w:tcPr>
            <w:tcW w:w="1815" w:type="dxa"/>
          </w:tcPr>
          <w:p w14:paraId="7D4E071B">
            <w:r>
              <w:rPr>
                <w:rFonts w:ascii="Aptos" w:hAnsi="Aptos" w:cs="Aptos" w:eastAsia="Aptos"/>
                <w:color w:val="000000"/>
                <w:sz w:val="22"/>
                <w:szCs w:val="22"/>
              </w:rPr>
              <w:t xml:space="preserve">One-off activation fee and fee per invoice processed</w:t>
            </w:r>
          </w:p>
        </w:tc>
        <w:tc>
          <w:tcPr>
            <w:tcW w:w="1814" w:type="dxa"/>
          </w:tcPr>
          <w:p w14:paraId="7D4E071C">
            <w:r>
              <w:rPr>
                <w:rFonts w:ascii="Aptos" w:hAnsi="Aptos" w:cs="Aptos" w:eastAsia="Aptos"/>
                <w:color w:val="000000"/>
                <w:sz w:val="22"/>
                <w:szCs w:val="22"/>
              </w:rPr>
              <w:t xml:space="preserve">EUR 38.00 one-off + EUR 0.08 per invoice</w:t>
            </w:r>
          </w:p>
        </w:tc>
        <w:tc>
          <w:tcPr>
            <w:tcW w:w="1814" w:type="dxa"/>
          </w:tcPr>
          <w:p w14:paraId="7D4E071D">
            <w:r>
              <w:rPr>
                <w:rFonts w:ascii="Aptos" w:hAnsi="Aptos" w:cs="Aptos" w:eastAsia="Aptos"/>
                <w:color w:val="000000"/>
                <w:sz w:val="22"/>
                <w:szCs w:val="22"/>
              </w:rPr>
              <w:t xml:space="preserve">[ ] Partner</w:t>
            </w:r>
          </w:p>
        </w:tc>
        <w:tc>
          <w:tcPr>
            <w:tcW w:w="1814" w:type="dxa"/>
          </w:tcPr>
          <w:p w14:paraId="7D4E071E">
            <w:r>
              <w:rPr>
                <w:rFonts w:ascii="Aptos" w:hAnsi="Aptos" w:cs="Aptos" w:eastAsia="Aptos"/>
                <w:color w:val="000000"/>
                <w:sz w:val="22"/>
                <w:szCs w:val="22"/>
              </w:rPr>
              <w:t xml:space="preserve">[amounts exclusive of VAT; revisable under Section 3.3]</w:t>
            </w:r>
          </w:p>
        </w:tc>
      </w:tr>
    </w:tbl>
    <w:p w14:paraId="7D4E071F"/>
    <w:p w14:paraId="16B23B5F">
      <w:pPr>
        <w:pStyle w:val="ListParagraph"/>
        <w:numPr>
          <w:ilvl w:val="1"/>
          <w:numId w:val="10"/>
        </w:numPr>
      </w:pPr>
      <w:r>
        <w:rPr>
          <w:rFonts w:ascii="Aptos" w:hAnsi="Aptos" w:cs="Aptos" w:eastAsia="Aptos"/>
          <w:color w:val="000000"/>
          <w:sz w:val="22"/>
          <w:szCs w:val="22"/>
        </w:rPr>
        <w:t>All fees stated in this Agreement are exclusive of VAT and other applicable taxes unless expressly stated otherwise. The applicable VAT rate shall be added to the invoice in accordance with Croatian tax legislation.</w:t>
      </w:r>
    </w:p>
    <w:p w14:paraId="2615FA7E">
      <w:pPr>
        <w:pStyle w:val="ListParagraph"/>
        <w:numPr>
          <w:ilvl w:val="1"/>
          <w:numId w:val="10"/>
        </w:numPr>
      </w:pPr>
      <w:r>
        <w:rPr>
          <w:rFonts w:ascii="Aptos" w:hAnsi="Aptos" w:cs="Aptos" w:eastAsia="Aptos"/>
          <w:color w:val="000000"/>
          <w:sz w:val="22"/>
          <w:szCs w:val="22"/>
        </w:rPr>
        <w:t>UTOPIA TECHNOLOGIES reserves the right to revise the Transaction Fee structure upon not less than thirty (30) days' prior written notice to the Partner. Changes to Transaction Fees shall not apply retroactively to transactions that have already been completed prior to the entry into force of the revised fee schedule.</w:t>
      </w:r>
    </w:p>
    <w:p w14:paraId="3579B99D">
      <w:pPr>
        <w:pStyle w:val="ListParagraph"/>
        <w:numPr>
          <w:ilvl w:val="1"/>
          <w:numId w:val="10"/>
        </w:numPr>
      </w:pPr>
      <w:r>
        <w:rPr>
          <w:rFonts w:ascii="Aptos" w:hAnsi="Aptos" w:cs="Aptos" w:eastAsia="Aptos"/>
          <w:color w:val="000000"/>
          <w:sz w:val="22"/>
          <w:szCs w:val="22"/>
        </w:rPr>
        <w:t>Any promotional, discounted, or introductory fee arrangements agreed between the Parties shall be set out in Annex 2 (Special Commercial Arrangements) to this Agreement and shall be valid only for the period specified therein.</w:t>
      </w:r>
    </w:p>
    <w:p w14:paraId="44DD78BC">
      <w:pPr>
        <w:pStyle w:val="ListParagraph"/>
        <w:numPr>
          <w:ilvl w:val="0"/>
          <w:numId w:val="10"/>
        </w:numPr>
      </w:pPr>
      <w:r>
        <w:rPr>
          <w:b/>
          <w:rFonts w:ascii="Aptos" w:hAnsi="Aptos" w:cs="Aptos" w:eastAsia="Aptos"/>
          <w:color w:val="000000"/>
          <w:sz w:val="22"/>
          <w:szCs w:val="22"/>
        </w:rPr>
        <w:t>SETTLEMENT AND PAYOUT</w:t>
      </w:r>
    </w:p>
    <w:p w14:paraId="21ABF2AF">
      <w:pPr>
        <w:pStyle w:val="ListParagraph"/>
        <w:numPr>
          <w:ilvl w:val="1"/>
          <w:numId w:val="10"/>
        </w:numPr>
      </w:pPr>
      <w:r>
        <w:rPr>
          <w:rFonts w:ascii="Aptos" w:hAnsi="Aptos" w:cs="Aptos" w:eastAsia="Aptos"/>
          <w:color w:val="000000"/>
          <w:sz w:val="22"/>
          <w:szCs w:val="22"/>
        </w:rPr>
        <w:t>UTOPIA TECHNOLOGIES shall collect payments from Customers through the Platform's payment infrastructure and shall settle net amounts due to the Partner in accordance with the following schedule:</w:t>
      </w:r>
    </w:p>
    <w:p w14:paraId="7EC01732">
      <w:pPr>
        <w:pStyle w:val="ListParagraph"/>
        <w:numPr>
          <w:ilvl w:val="0"/>
          <w:numId w:val="13"/>
        </w:numPr>
      </w:pPr>
      <w:r>
        <w:rPr>
          <w:rFonts w:ascii="Aptos" w:hAnsi="Aptos" w:cs="Aptos" w:eastAsia="Aptos"/>
          <w:color w:val="000000"/>
          <w:sz w:val="22"/>
          <w:szCs w:val="22"/>
        </w:rPr>
        <w:t>Settlement period: [ ] Weekly [ ] Bi-weekly [ ] Monthly [ ] Other: [specify]</w:t>
      </w:r>
    </w:p>
    <w:p w14:paraId="5CFC294A">
      <w:pPr>
        <w:pStyle w:val="ListParagraph"/>
        <w:numPr>
          <w:ilvl w:val="0"/>
          <w:numId w:val="13"/>
        </w:numPr>
      </w:pPr>
      <w:r>
        <w:rPr>
          <w:rFonts w:ascii="Aptos" w:hAnsi="Aptos" w:cs="Aptos" w:eastAsia="Aptos"/>
          <w:color w:val="000000"/>
          <w:sz w:val="22"/>
          <w:szCs w:val="22"/>
        </w:rPr>
        <w:t>Settlement day: [e.g. every [●] business day following the end of the settlement period]</w:t>
      </w:r>
    </w:p>
    <w:p w14:paraId="3A104DCD">
      <w:pPr>
        <w:pStyle w:val="ListParagraph"/>
        <w:numPr>
          <w:ilvl w:val="0"/>
          <w:numId w:val="13"/>
        </w:numPr>
      </w:pPr>
      <w:r>
        <w:rPr>
          <w:rFonts w:ascii="Aptos" w:hAnsi="Aptos" w:cs="Aptos" w:eastAsia="Aptos"/>
          <w:color w:val="000000"/>
          <w:sz w:val="22"/>
          <w:szCs w:val="22"/>
        </w:rPr>
        <w:t>Minimum payout threshold: EUR [●] (if the net amount due is below this threshold, it shall be carried forward to the following settlement period)</w:t>
      </w:r>
    </w:p>
    <w:p w14:paraId="17247250">
      <w:pPr>
        <w:pStyle w:val="ListParagraph"/>
        <w:numPr>
          <w:ilvl w:val="0"/>
          <w:numId w:val="13"/>
        </w:numPr>
      </w:pPr>
      <w:r>
        <w:rPr>
          <w:rFonts w:ascii="Aptos" w:hAnsi="Aptos" w:cs="Aptos" w:eastAsia="Aptos"/>
          <w:color w:val="000000"/>
          <w:sz w:val="22"/>
          <w:szCs w:val="22"/>
        </w:rPr>
        <w:t>Payment method: bank transfer to the Partner's designated account (IBAN: [●], BIC/SWIFT: [●])</w:t>
      </w:r>
    </w:p>
    <w:p w14:paraId="04F81F68">
      <w:pPr>
        <w:pStyle w:val="ListParagraph"/>
        <w:numPr>
          <w:ilvl w:val="1"/>
          <w:numId w:val="10"/>
        </w:numPr>
      </w:pPr>
      <w:r>
        <w:rPr>
          <w:rFonts w:ascii="Aptos" w:hAnsi="Aptos" w:cs="Aptos" w:eastAsia="Aptos"/>
          <w:color w:val="000000"/>
          <w:sz w:val="22"/>
          <w:szCs w:val="22"/>
        </w:rPr>
        <w:t>Net settlement amounts are calculated by deducting from the gross transaction value collected from Customers: (a) the applicable Transaction Fees; (b) any amounts retained in respect of pending or processed refunds; (c) any chargebacks or payment reversals attributable to the Partner; and (d) any other amounts owed by the Partner to UTOPIA TECHNOLOGIES under this Agreement or the Partner Terms.</w:t>
      </w:r>
    </w:p>
    <w:p w14:paraId="620C43EB">
      <w:pPr>
        <w:pStyle w:val="ListParagraph"/>
        <w:numPr>
          <w:ilvl w:val="1"/>
          <w:numId w:val="10"/>
        </w:numPr>
      </w:pPr>
      <w:r>
        <w:rPr>
          <w:rFonts w:ascii="Aptos" w:hAnsi="Aptos" w:cs="Aptos" w:eastAsia="Aptos"/>
          <w:color w:val="000000"/>
          <w:sz w:val="22"/>
          <w:szCs w:val="22"/>
        </w:rPr>
        <w:t>UTOPIA TECHNOLOGIES shall provide the Partner with a settlement statement for each settlement period, accessible through the Partner Dashboard, detailing gross transaction volume, deductions, and net amount settled.</w:t>
      </w:r>
    </w:p>
    <w:p w14:paraId="3F20686E">
      <w:pPr>
        <w:pStyle w:val="ListParagraph"/>
        <w:numPr>
          <w:ilvl w:val="1"/>
          <w:numId w:val="10"/>
        </w:numPr>
      </w:pPr>
      <w:r>
        <w:rPr>
          <w:rFonts w:ascii="Aptos" w:hAnsi="Aptos" w:cs="Aptos" w:eastAsia="Aptos"/>
          <w:color w:val="000000"/>
          <w:sz w:val="22"/>
          <w:szCs w:val="22"/>
        </w:rPr>
        <w:t>In the event of a dispute regarding a settlement statement, the Partner must raise a written objection with UTOPIA TECHNOLOGIES within [●] calendar days of the settlement statement being made available. Failure to raise an objection within this period shall be deemed acceptance of the settlement statement.</w:t>
      </w:r>
    </w:p>
    <w:p w14:paraId="1C348CF1">
      <w:pPr>
        <w:pStyle w:val="ListParagraph"/>
        <w:numPr>
          <w:ilvl w:val="1"/>
          <w:numId w:val="10"/>
        </w:numPr>
      </w:pPr>
      <w:r>
        <w:rPr>
          <w:rFonts w:ascii="Aptos" w:hAnsi="Aptos" w:cs="Aptos" w:eastAsia="Aptos"/>
          <w:color w:val="000000"/>
          <w:sz w:val="22"/>
          <w:szCs w:val="22"/>
        </w:rPr>
        <w:t>UTOPIA TECHNOLOGIES may withhold settlement or impose a reserve amount in the event of: (a) an elevated risk of chargebacks or refunds; (b) ongoing investigation of suspected fraud or misuse; or (c) suspension or termination of the Partner Account. Any withheld amounts shall be released to the Partner following resolution of the relevant issue, subject to any offsets.</w:t>
      </w:r>
    </w:p>
    <w:p w14:paraId="7948B174">
      <w:pPr>
        <w:pStyle w:val="ListParagraph"/>
        <w:numPr>
          <w:ilvl w:val="0"/>
          <w:numId w:val="10"/>
        </w:numPr>
      </w:pPr>
      <w:r>
        <w:rPr>
          <w:b/>
          <w:rFonts w:ascii="Aptos" w:hAnsi="Aptos" w:cs="Aptos" w:eastAsia="Aptos"/>
          <w:color w:val="000000"/>
          <w:sz w:val="22"/>
          <w:szCs w:val="22"/>
        </w:rPr>
        <w:t>INVOICING AND VAT</w:t>
      </w:r>
    </w:p>
    <w:p w14:paraId="559F650D">
      <w:pPr>
        <w:pStyle w:val="ListParagraph"/>
        <w:numPr>
          <w:ilvl w:val="1"/>
          <w:numId w:val="10"/>
        </w:numPr>
      </w:pPr>
      <w:r>
        <w:rPr>
          <w:rFonts w:ascii="Aptos" w:hAnsi="Aptos" w:cs="Aptos" w:eastAsia="Aptos"/>
          <w:color w:val="000000"/>
          <w:sz w:val="22"/>
          <w:szCs w:val="22"/>
        </w:rPr>
        <w:t>The Partner is responsible for issuing fiscally compliant invoices to Customers in respect of all transactions conducted through the Platform. The Partner confirms that it is registered for VAT purposes (or, where applicable, is exempt from VAT registration) and that it will comply with all applicable VAT obligations in connection with transactions facilitated through the Platform.</w:t>
      </w:r>
    </w:p>
    <w:p w14:paraId="32B38990">
      <w:pPr>
        <w:pStyle w:val="ListParagraph"/>
        <w:numPr>
          <w:ilvl w:val="1"/>
          <w:numId w:val="10"/>
        </w:numPr>
      </w:pPr>
      <w:r>
        <w:rPr>
          <w:rFonts w:ascii="Aptos" w:hAnsi="Aptos" w:cs="Aptos" w:eastAsia="Aptos"/>
          <w:color w:val="000000"/>
          <w:sz w:val="22"/>
          <w:szCs w:val="22"/>
        </w:rPr>
        <w:t>UTOPIA TECHNOLOGIES shall issue invoices to the Partner for Transaction Fees and any other charges payable under this Agreement in accordance with the settlement schedule. The Partner must provide UTOPIA TECHNOLOGIES with all necessary tax and banking information required for invoicing and settlement purposes and must promptly notify UTOPIA TECHNOLOGIES of any changes to such information.</w:t>
      </w:r>
    </w:p>
    <w:p w14:paraId="10EF9BA8">
      <w:pPr>
        <w:pStyle w:val="ListParagraph"/>
        <w:numPr>
          <w:ilvl w:val="1"/>
          <w:numId w:val="10"/>
        </w:numPr>
      </w:pPr>
      <w:r>
        <w:rPr>
          <w:rFonts w:ascii="Aptos" w:hAnsi="Aptos" w:cs="Aptos" w:eastAsia="Aptos"/>
          <w:color w:val="000000"/>
          <w:sz w:val="22"/>
          <w:szCs w:val="22"/>
        </w:rPr>
        <w:t>The Parties acknowledge that UTOPIA TECHNOLOGIES acts as a technical intermediary in the collection of Customer payments and does not issue customer-facing invoices on behalf of the Partner. The Partner remains solely responsible for its own fiscal obligations towards Customers.</w:t>
      </w:r>
    </w:p>
    <w:p w14:paraId="7948B174">
      <w:pPr>
        <w:pStyle w:val="ListParagraph"/>
        <w:numPr>
          <w:ilvl w:val="0"/>
          <w:numId w:val="10"/>
        </w:numPr>
      </w:pPr>
      <w:r>
        <w:rPr>
          <w:b/>
          <w:rFonts w:ascii="Aptos" w:hAnsi="Aptos" w:cs="Aptos" w:eastAsia="Aptos"/>
          <w:color w:val="000000"/>
          <w:sz w:val="22"/>
          <w:szCs w:val="22"/>
        </w:rPr>
        <w:t xml:space="preserve">FISCALISATION MODULE</w:t>
      </w:r>
    </w:p>
    <w:p w14:paraId="559F650D">
      <w:pPr>
        <w:pStyle w:val="ListParagraph"/>
        <w:numPr>
          <w:ilvl w:val="1"/>
          <w:numId w:val="10"/>
        </w:numPr>
      </w:pPr>
      <w:r>
        <w:rPr>
          <w:rFonts w:ascii="Aptos" w:hAnsi="Aptos" w:cs="Aptos" w:eastAsia="Aptos"/>
          <w:color w:val="000000"/>
          <w:sz w:val="22"/>
          <w:szCs w:val="22"/>
        </w:rPr>
        <w:t xml:space="preserve">Where the Fiscalisation Module is activated under Section 1 of this Agreement, the Partner uses the module described in Section 8 of the Partner Terms, which is technically provided through the BillKO system operated by Kupuj online d.o.o., Fiorella La Guardie 13, 51000 Rijeka, OIB: 60186252821 (the "Fiscalisation Provider"). The Partner acknowledges that the Fiscalisation Module is provided on the basis of a separate agreement between UTOPIA TECHNOLOGIES and the Fiscalisation Provider and that UTOPIA TECHNOLOGIES may replace the Fiscalisation Provider or the underlying technical solution with one of equivalent functionality upon reasonable prior written notice.</w:t>
      </w:r>
    </w:p>
    <w:p w14:paraId="559F650D">
      <w:pPr>
        <w:pStyle w:val="ListParagraph"/>
        <w:numPr>
          <w:ilvl w:val="1"/>
          <w:numId w:val="10"/>
        </w:numPr>
      </w:pPr>
      <w:r>
        <w:rPr>
          <w:rFonts w:ascii="Aptos" w:hAnsi="Aptos" w:cs="Aptos" w:eastAsia="Aptos"/>
          <w:color w:val="000000"/>
          <w:sz w:val="22"/>
          <w:szCs w:val="22"/>
        </w:rPr>
        <w:t xml:space="preserve">Before activation, the Partner shall submit the data and documentation prescribed by the technical documentation, including its digital certificate for fiscalisation, the identifiers of its business premises and charging devices, operator data, applicable tax rates, and item and pricing data. Activation is completed within two (2) business days of receipt of complete and accurate prerequisites. The Partner shall keep this data accurate and up to date throughout the term of this Agreement.</w:t>
      </w:r>
    </w:p>
    <w:p w14:paraId="559F650D">
      <w:pPr>
        <w:pStyle w:val="ListParagraph"/>
        <w:numPr>
          <w:ilvl w:val="1"/>
          <w:numId w:val="10"/>
        </w:numPr>
      </w:pPr>
      <w:r>
        <w:rPr>
          <w:rFonts w:ascii="Aptos" w:hAnsi="Aptos" w:cs="Aptos" w:eastAsia="Aptos"/>
          <w:color w:val="000000"/>
          <w:sz w:val="22"/>
          <w:szCs w:val="22"/>
        </w:rPr>
        <w:t xml:space="preserve">The fees for the Fiscalisation Module are: a one-off activation fee of EUR 38.00 excluding VAT per activation, and EUR 0.08 excluding VAT per invoice recorded and processed through the fiscalisation system, irrespective of whether the invoice is subsequently cancelled, save where the invoice was generated as a result of a proven technical error of the fiscalisation system. Invoices issued in a previously approved test environment are not charged. The fees are invoiced monthly together with a report, and the records of the fiscalisation system are primarily authoritative for their calculation. UTOPIA TECHNOLOGIES may revise these fees upon not less than thirty (30) days' prior written notice, in which case the Partner may deactivate the Fiscalisation Module before the revised fees take effect, without any charge for the future period.</w:t>
      </w:r>
    </w:p>
    <w:p w14:paraId="559F650D">
      <w:pPr>
        <w:pStyle w:val="ListParagraph"/>
        <w:numPr>
          <w:ilvl w:val="1"/>
          <w:numId w:val="10"/>
        </w:numPr>
      </w:pPr>
      <w:r>
        <w:rPr>
          <w:rFonts w:ascii="Aptos" w:hAnsi="Aptos" w:cs="Aptos" w:eastAsia="Aptos"/>
          <w:color w:val="000000"/>
          <w:sz w:val="22"/>
          <w:szCs w:val="22"/>
        </w:rPr>
        <w:t xml:space="preserve">UTOPIA TECHNOLOGIES provides first level support for the Fiscalisation Module and is the Partner's single point of contact, and escalates issues originating in the fiscalisation system to the Fiscalisation Provider, which provides second level support. Support hours, the handling of critical incidents, the targeted monthly availability of 99.5 %, the applicable exclusions, and the fee reductions available where that availability is not attained are set out in Section 8 of the Partner Terms.</w:t>
      </w:r>
    </w:p>
    <w:p w14:paraId="559F650D">
      <w:pPr>
        <w:pStyle w:val="ListParagraph"/>
        <w:numPr>
          <w:ilvl w:val="1"/>
          <w:numId w:val="10"/>
        </w:numPr>
      </w:pPr>
      <w:r>
        <w:rPr>
          <w:rFonts w:ascii="Aptos" w:hAnsi="Aptos" w:cs="Aptos" w:eastAsia="Aptos"/>
          <w:color w:val="000000"/>
          <w:sz w:val="22"/>
          <w:szCs w:val="22"/>
        </w:rPr>
        <w:t xml:space="preserve">Invoices prepared, issued, and fiscalised through the Fiscalisation Module are issued in the name and for the account of the Partner, which remains the person liable for the issuing and fiscalisation of invoices and for the accuracy of all data submitted. Section 5.3 of this Agreement shall be construed accordingly: in respect of the Fiscalisation Module, UTOPIA TECHNOLOGIES and the Fiscalisation Provider act solely as technical intermediaries and assume no fiscal, tax, or accounting obligation of the Partner.</w:t>
      </w:r>
    </w:p>
    <w:p w14:paraId="559F650D">
      <w:pPr>
        <w:pStyle w:val="ListParagraph"/>
        <w:numPr>
          <w:ilvl w:val="1"/>
          <w:numId w:val="10"/>
        </w:numPr>
      </w:pPr>
      <w:r>
        <w:rPr>
          <w:rFonts w:ascii="Aptos" w:hAnsi="Aptos" w:cs="Aptos" w:eastAsia="Aptos"/>
          <w:color w:val="000000"/>
          <w:sz w:val="22"/>
          <w:szCs w:val="22"/>
        </w:rPr>
        <w:t xml:space="preserve">The processing of personal data in connection with the Fiscalisation Module is governed by the DPA, in which the Fiscalisation Provider is listed as a sub-processor. Upon deactivation of the Fiscalisation Module or termination of this Agreement, the Partner may request a one-off export of its fiscalisation data in accordance with Section 8.13 of the Partner Terms.</w:t>
      </w:r>
    </w:p>
    <w:p w14:paraId="6E03C02B">
      <w:pPr>
        <w:pStyle w:val="ListParagraph"/>
        <w:numPr>
          <w:ilvl w:val="0"/>
          <w:numId w:val="10"/>
        </w:numPr>
      </w:pPr>
      <w:r>
        <w:rPr>
          <w:b/>
          <w:rFonts w:ascii="Aptos" w:hAnsi="Aptos" w:cs="Aptos" w:eastAsia="Aptos"/>
          <w:color w:val="000000"/>
          <w:sz w:val="22"/>
          <w:szCs w:val="22"/>
        </w:rPr>
        <w:t>ONBOARDING AND SUPPORT</w:t>
      </w:r>
    </w:p>
    <w:p w14:paraId="4A5A73C4">
      <w:pPr>
        <w:pStyle w:val="ListParagraph"/>
        <w:numPr>
          <w:ilvl w:val="1"/>
          <w:numId w:val="10"/>
        </w:numPr>
      </w:pPr>
      <w:r>
        <w:rPr>
          <w:rFonts w:ascii="Aptos" w:hAnsi="Aptos" w:cs="Aptos" w:eastAsia="Aptos"/>
          <w:color w:val="000000"/>
          <w:sz w:val="22"/>
          <w:szCs w:val="22"/>
        </w:rPr>
        <w:t>UTOPIA TECHNOLOGIES shall provide the Partner with an onboarding process upon execution of this Agreement, which shall include: (a) initial setup and configuration of the Partner Account and activated modules; (b) access to onboarding materials, user guides, and training resources; and (c) a designated onboarding period of [●] days during which UTOPIA TECHNOLOGIES shall provide enhanced support to assist the Partner in commencing use of the Platform.</w:t>
      </w:r>
    </w:p>
    <w:p w14:paraId="276E9847">
      <w:pPr>
        <w:pStyle w:val="ListParagraph"/>
        <w:numPr>
          <w:ilvl w:val="1"/>
          <w:numId w:val="10"/>
        </w:numPr>
      </w:pPr>
      <w:r>
        <w:rPr>
          <w:rFonts w:ascii="Aptos" w:hAnsi="Aptos" w:cs="Aptos" w:eastAsia="Aptos"/>
          <w:color w:val="000000"/>
          <w:sz w:val="22"/>
          <w:szCs w:val="22"/>
        </w:rPr>
        <w:t>Following the onboarding period, UTOPIA TECHNOLOGIES shall provide the Partner with ongoing technical support in accordance with the following service level:</w:t>
      </w:r>
    </w:p>
    <w:p w14:paraId="0482BCCA">
      <w:pPr>
        <w:pStyle w:val="ListParagraph"/>
        <w:numPr>
          <w:ilvl w:val="0"/>
          <w:numId w:val="14"/>
        </w:numPr>
      </w:pPr>
      <w:r>
        <w:rPr>
          <w:rFonts w:ascii="Aptos" w:hAnsi="Aptos" w:cs="Aptos" w:eastAsia="Aptos"/>
          <w:color w:val="000000"/>
          <w:sz w:val="22"/>
          <w:szCs w:val="22"/>
        </w:rPr>
        <w:t>Support tier: [ ] Standard [ ] Priority [ ] Dedicated Account Manager</w:t>
      </w:r>
    </w:p>
    <w:p w14:paraId="6196E14D">
      <w:pPr>
        <w:pStyle w:val="ListParagraph"/>
        <w:numPr>
          <w:ilvl w:val="0"/>
          <w:numId w:val="14"/>
        </w:numPr>
      </w:pPr>
      <w:r>
        <w:rPr>
          <w:rFonts w:ascii="Aptos" w:hAnsi="Aptos" w:cs="Aptos" w:eastAsia="Aptos"/>
          <w:color w:val="000000"/>
          <w:sz w:val="22"/>
          <w:szCs w:val="22"/>
        </w:rPr>
        <w:t>Support channels: [ ] Email [ ] In-platform ticketing [ ] Telephone [ ] Other: [specify]</w:t>
      </w:r>
    </w:p>
    <w:p w14:paraId="3EAB05D0">
      <w:pPr>
        <w:pStyle w:val="ListParagraph"/>
        <w:numPr>
          <w:ilvl w:val="0"/>
          <w:numId w:val="14"/>
        </w:numPr>
      </w:pPr>
      <w:r>
        <w:rPr>
          <w:rFonts w:ascii="Aptos" w:hAnsi="Aptos" w:cs="Aptos" w:eastAsia="Aptos"/>
          <w:color w:val="000000"/>
          <w:sz w:val="22"/>
          <w:szCs w:val="22"/>
        </w:rPr>
        <w:t>Target response time: [●] business hours for standard queries; [●] hours for critical issues (Platform unavailability or payment processing failures)</w:t>
      </w:r>
    </w:p>
    <w:p w14:paraId="2C7EB2E8">
      <w:pPr>
        <w:pStyle w:val="ListParagraph"/>
        <w:numPr>
          <w:ilvl w:val="1"/>
          <w:numId w:val="10"/>
        </w:numPr>
      </w:pPr>
      <w:r>
        <w:rPr>
          <w:rFonts w:ascii="Aptos" w:hAnsi="Aptos" w:cs="Aptos" w:eastAsia="Aptos"/>
          <w:color w:val="000000"/>
          <w:sz w:val="22"/>
          <w:szCs w:val="22"/>
        </w:rPr>
        <w:t>UTOPIA TECHNOLOGIES does not guarantee uninterrupted availability of the Platform and shall not be liable for temporary unavailability resulting from scheduled maintenance, force majeure, or circumstances beyond its reasonable control, as further set out in the Partner Terms.</w:t>
      </w:r>
    </w:p>
    <w:p w14:paraId="0992D76B">
      <w:pPr>
        <w:pStyle w:val="ListParagraph"/>
        <w:numPr>
          <w:ilvl w:val="0"/>
          <w:numId w:val="10"/>
        </w:numPr>
      </w:pPr>
      <w:r>
        <w:rPr>
          <w:b/>
          <w:rFonts w:ascii="Aptos" w:hAnsi="Aptos" w:cs="Aptos" w:eastAsia="Aptos"/>
          <w:color w:val="000000"/>
          <w:sz w:val="22"/>
          <w:szCs w:val="22"/>
        </w:rPr>
        <w:t>MARKETING AND PROMOTIONAL ACTIVITIES</w:t>
      </w:r>
    </w:p>
    <w:p w14:paraId="552A026F">
      <w:pPr>
        <w:pStyle w:val="ListParagraph"/>
        <w:numPr>
          <w:ilvl w:val="1"/>
          <w:numId w:val="10"/>
        </w:numPr>
      </w:pPr>
      <w:r>
        <w:rPr>
          <w:rFonts w:ascii="Aptos" w:hAnsi="Aptos" w:cs="Aptos" w:eastAsia="Aptos"/>
          <w:color w:val="000000"/>
          <w:sz w:val="22"/>
          <w:szCs w:val="22"/>
        </w:rPr>
        <w:t>The Partner consents to UTOPIA TECHNOLOGIES listing the Partner's name, logo, location, and profile information on the Platform and in connection with the promotion of the Platform, in accordance with the licence granted under the Partner Terms.</w:t>
      </w:r>
    </w:p>
    <w:p w14:paraId="33661487">
      <w:pPr>
        <w:pStyle w:val="ListParagraph"/>
        <w:numPr>
          <w:ilvl w:val="1"/>
          <w:numId w:val="10"/>
        </w:numPr>
      </w:pPr>
      <w:r>
        <w:rPr>
          <w:rFonts w:ascii="Aptos" w:hAnsi="Aptos" w:cs="Aptos" w:eastAsia="Aptos"/>
          <w:color w:val="000000"/>
          <w:sz w:val="22"/>
          <w:szCs w:val="22"/>
        </w:rPr>
        <w:t>The following additional marketing and co-promotional activities are agreed between the Parties (tick applicable):</w:t>
      </w:r>
    </w:p>
    <w:p w14:paraId="2139C19F">
      <w:pPr>
        <w:pStyle w:val="ListParagraph"/>
        <w:numPr>
          <w:ilvl w:val="0"/>
          <w:numId w:val="15"/>
        </w:numPr>
      </w:pPr>
      <w:r>
        <w:rPr>
          <w:rFonts w:ascii="Aptos" w:hAnsi="Aptos" w:cs="Aptos" w:eastAsia="Aptos"/>
          <w:color w:val="000000"/>
          <w:sz w:val="22"/>
          <w:szCs w:val="22"/>
        </w:rPr>
        <w:t>[ ] Featured listing or boosted visibility on the Platform (duration and terms: [●])</w:t>
      </w:r>
    </w:p>
    <w:p w14:paraId="7E4DE622">
      <w:pPr>
        <w:pStyle w:val="ListParagraph"/>
        <w:numPr>
          <w:ilvl w:val="0"/>
          <w:numId w:val="15"/>
        </w:numPr>
      </w:pPr>
      <w:r>
        <w:rPr>
          <w:rFonts w:ascii="Aptos" w:hAnsi="Aptos" w:cs="Aptos" w:eastAsia="Aptos"/>
          <w:color w:val="000000"/>
          <w:sz w:val="22"/>
          <w:szCs w:val="22"/>
        </w:rPr>
        <w:t>[ ] Inclusion in PLEIS marketing campaigns, newsletters, or social media content (subject to Partner approval of materials)</w:t>
      </w:r>
    </w:p>
    <w:p w14:paraId="5B620AA5">
      <w:pPr>
        <w:pStyle w:val="ListParagraph"/>
        <w:numPr>
          <w:ilvl w:val="0"/>
          <w:numId w:val="15"/>
        </w:numPr>
      </w:pPr>
      <w:r>
        <w:rPr>
          <w:rFonts w:ascii="Aptos" w:hAnsi="Aptos" w:cs="Aptos" w:eastAsia="Aptos"/>
          <w:color w:val="000000"/>
          <w:sz w:val="22"/>
          <w:szCs w:val="22"/>
        </w:rPr>
        <w:t>[ ] Participation in joint promotional offers or discount campaigns (terms set out in Annex 2)</w:t>
      </w:r>
    </w:p>
    <w:p w14:paraId="38762F28">
      <w:pPr>
        <w:pStyle w:val="ListParagraph"/>
        <w:numPr>
          <w:ilvl w:val="0"/>
          <w:numId w:val="15"/>
        </w:numPr>
      </w:pPr>
      <w:r>
        <w:rPr>
          <w:rFonts w:ascii="Aptos" w:hAnsi="Aptos" w:cs="Aptos" w:eastAsia="Aptos"/>
          <w:color w:val="000000"/>
          <w:sz w:val="22"/>
          <w:szCs w:val="22"/>
        </w:rPr>
        <w:t>[ ] None - standard listing only</w:t>
      </w:r>
    </w:p>
    <w:p w14:paraId="158A53AB">
      <w:pPr>
        <w:pStyle w:val="ListParagraph"/>
        <w:numPr>
          <w:ilvl w:val="1"/>
          <w:numId w:val="10"/>
        </w:numPr>
      </w:pPr>
      <w:r>
        <w:rPr>
          <w:rFonts w:ascii="Aptos" w:hAnsi="Aptos" w:cs="Aptos" w:eastAsia="Aptos"/>
          <w:color w:val="000000"/>
          <w:sz w:val="22"/>
          <w:szCs w:val="22"/>
        </w:rPr>
        <w:t>Any paid promotional placements or featured listing arrangements agreed under this Section shall be disclosed to Customers in accordance with the P2B Regulation and the Partner Terms.</w:t>
      </w:r>
    </w:p>
    <w:p w14:paraId="035E00C3">
      <w:pPr>
        <w:pStyle w:val="ListParagraph"/>
        <w:numPr>
          <w:ilvl w:val="0"/>
          <w:numId w:val="10"/>
        </w:numPr>
      </w:pPr>
      <w:r>
        <w:rPr>
          <w:b/>
          <w:rFonts w:ascii="Aptos" w:hAnsi="Aptos" w:cs="Aptos" w:eastAsia="Aptos"/>
          <w:color w:val="000000"/>
          <w:sz w:val="22"/>
          <w:szCs w:val="22"/>
        </w:rPr>
        <w:t>TERM AND RENEWAL</w:t>
      </w:r>
    </w:p>
    <w:p w14:paraId="4EF52BC7">
      <w:pPr>
        <w:pStyle w:val="ListParagraph"/>
        <w:numPr>
          <w:ilvl w:val="1"/>
          <w:numId w:val="10"/>
        </w:numPr>
      </w:pPr>
      <w:r>
        <w:rPr>
          <w:rFonts w:ascii="Aptos" w:hAnsi="Aptos" w:cs="Aptos" w:eastAsia="Aptos"/>
          <w:color w:val="000000"/>
          <w:sz w:val="22"/>
          <w:szCs w:val="22"/>
        </w:rPr>
        <w:t>This Agreement shall enter into force on the Effective Date and shall continue in force for an initial term of [●] months / years (the "Initial Term"), unless earlier terminated in accordance with this Agreement or the Partner Terms.</w:t>
      </w:r>
    </w:p>
    <w:p w14:paraId="2C09504A">
      <w:pPr>
        <w:pStyle w:val="ListParagraph"/>
        <w:numPr>
          <w:ilvl w:val="1"/>
          <w:numId w:val="10"/>
        </w:numPr>
      </w:pPr>
      <w:r>
        <w:rPr>
          <w:rFonts w:ascii="Aptos" w:hAnsi="Aptos" w:cs="Aptos" w:eastAsia="Aptos"/>
          <w:color w:val="000000"/>
          <w:sz w:val="22"/>
          <w:szCs w:val="22"/>
        </w:rPr>
        <w:t>Upon expiry of the Initial Term, this Agreement shall automatically renew for successive periods of [●] months / years (each a "Renewal Term"), unless either Party gives written notice of non-renewal to the other Party at least [●] days prior to the expiry of the then-current term.</w:t>
      </w:r>
    </w:p>
    <w:p w14:paraId="091D74CD">
      <w:pPr>
        <w:pStyle w:val="ListParagraph"/>
        <w:numPr>
          <w:ilvl w:val="1"/>
          <w:numId w:val="10"/>
        </w:numPr>
      </w:pPr>
      <w:r>
        <w:rPr>
          <w:rFonts w:ascii="Aptos" w:hAnsi="Aptos" w:cs="Aptos" w:eastAsia="Aptos"/>
          <w:color w:val="000000"/>
          <w:sz w:val="22"/>
          <w:szCs w:val="22"/>
        </w:rPr>
        <w:t>Either Party may terminate this Agreement without cause upon [●] days' written notice to the other Party, in accordance with the termination provisions of the Partner Terms. Termination of this Agreement shall constitute termination of the Partner Terms as between the Parties.</w:t>
      </w:r>
    </w:p>
    <w:p w14:paraId="273670B0">
      <w:pPr>
        <w:pStyle w:val="ListParagraph"/>
        <w:numPr>
          <w:ilvl w:val="0"/>
          <w:numId w:val="10"/>
        </w:numPr>
      </w:pPr>
      <w:r>
        <w:rPr>
          <w:b/>
          <w:rFonts w:ascii="Aptos" w:hAnsi="Aptos" w:cs="Aptos" w:eastAsia="Aptos"/>
          <w:color w:val="000000"/>
          <w:sz w:val="22"/>
          <w:szCs w:val="22"/>
        </w:rPr>
        <w:t>DATA PROCESSING</w:t>
      </w:r>
    </w:p>
    <w:p w14:paraId="540F6F19">
      <w:pPr>
        <w:pStyle w:val="ListParagraph"/>
        <w:numPr>
          <w:ilvl w:val="1"/>
          <w:numId w:val="10"/>
        </w:numPr>
      </w:pPr>
      <w:r>
        <w:rPr>
          <w:rFonts w:ascii="Aptos" w:hAnsi="Aptos" w:cs="Aptos" w:eastAsia="Aptos"/>
          <w:color w:val="000000"/>
          <w:sz w:val="22"/>
          <w:szCs w:val="22"/>
        </w:rPr>
        <w:t>The Parties acknowledge that the processing of personal data in connection with this Agreement and the use of the Platform is subject to applicable data protection legislation, including the GDPR. The roles and responsibilities of the Parties with respect to personal data processing are further governed by the Data Processing Agreement concluded between the Parties ("DPA"), which forms an integral part of this Agreement and is attached hereto as Annex 3.</w:t>
      </w:r>
    </w:p>
    <w:p w14:paraId="17D919D8">
      <w:pPr>
        <w:pStyle w:val="ListParagraph"/>
        <w:numPr>
          <w:ilvl w:val="1"/>
          <w:numId w:val="10"/>
        </w:numPr>
      </w:pPr>
      <w:r>
        <w:rPr>
          <w:rFonts w:ascii="Aptos" w:hAnsi="Aptos" w:cs="Aptos" w:eastAsia="Aptos"/>
          <w:color w:val="000000"/>
          <w:sz w:val="22"/>
          <w:szCs w:val="22"/>
        </w:rPr>
        <w:t>In the event of any conflict between this Agreement and the DPA with respect to the processing of personal data, the DPA shall prevail.</w:t>
      </w:r>
    </w:p>
    <w:p w14:paraId="5BA2C497">
      <w:pPr>
        <w:pStyle w:val="ListParagraph"/>
        <w:numPr>
          <w:ilvl w:val="0"/>
          <w:numId w:val="10"/>
        </w:numPr>
      </w:pPr>
      <w:r>
        <w:rPr>
          <w:b/>
          <w:rFonts w:ascii="Aptos" w:hAnsi="Aptos" w:cs="Aptos" w:eastAsia="Aptos"/>
          <w:color w:val="000000"/>
          <w:sz w:val="22"/>
          <w:szCs w:val="22"/>
        </w:rPr>
        <w:t>CONFIDENTIALITY</w:t>
      </w:r>
    </w:p>
    <w:p w14:paraId="014A38F5">
      <w:pPr>
        <w:pStyle w:val="ListParagraph"/>
        <w:numPr>
          <w:ilvl w:val="1"/>
          <w:numId w:val="10"/>
        </w:numPr>
      </w:pPr>
      <w:r>
        <w:rPr>
          <w:rFonts w:ascii="Aptos" w:hAnsi="Aptos" w:cs="Aptos" w:eastAsia="Aptos"/>
          <w:color w:val="000000"/>
          <w:sz w:val="22"/>
          <w:szCs w:val="22"/>
        </w:rPr>
        <w:t>Each Party undertakes to keep confidential all Confidential Information received from the other Party in connection with this Agreement and not to disclose such information to any third party without the prior written consent of the disclosing Party, except where disclosure is required by applicable law or by order of a competent authority.</w:t>
      </w:r>
    </w:p>
    <w:p w14:paraId="4C456DBF">
      <w:pPr>
        <w:pStyle w:val="ListParagraph"/>
        <w:numPr>
          <w:ilvl w:val="1"/>
          <w:numId w:val="10"/>
        </w:numPr>
      </w:pPr>
      <w:r>
        <w:rPr>
          <w:rFonts w:ascii="Aptos" w:hAnsi="Aptos" w:cs="Aptos" w:eastAsia="Aptos"/>
          <w:color w:val="000000"/>
          <w:sz w:val="22"/>
          <w:szCs w:val="22"/>
        </w:rPr>
        <w:t>"Confidential Information" means all non-public technical, commercial, financial, and operational information disclosed by one Party to the other in connection with this Agreement, including, without limitation, fee structures, settlement data, technical specifications, and business strategies, but excluding information that: (a) is or becomes publicly available through no fault of the receiving Party; (b) was already known to the receiving Party prior to disclosure; or (c) is independently developed by the receiving Party without use of the disclosing Party's information.</w:t>
      </w:r>
    </w:p>
    <w:p w14:paraId="100F187E">
      <w:pPr>
        <w:pStyle w:val="ListParagraph"/>
        <w:numPr>
          <w:ilvl w:val="1"/>
          <w:numId w:val="10"/>
        </w:numPr>
      </w:pPr>
      <w:r>
        <w:rPr>
          <w:rFonts w:ascii="Aptos" w:hAnsi="Aptos" w:cs="Aptos" w:eastAsia="Aptos"/>
          <w:color w:val="000000"/>
          <w:sz w:val="22"/>
          <w:szCs w:val="22"/>
        </w:rPr>
        <w:t>The confidentiality obligations under this Section shall survive the termination or expiry of this Agreement for a period of three (3) years.</w:t>
      </w:r>
    </w:p>
    <w:p w14:paraId="53D8C33D">
      <w:pPr>
        <w:pStyle w:val="ListParagraph"/>
        <w:numPr>
          <w:ilvl w:val="0"/>
          <w:numId w:val="10"/>
        </w:numPr>
      </w:pPr>
      <w:r>
        <w:rPr>
          <w:b/>
          <w:rFonts w:ascii="Aptos" w:hAnsi="Aptos" w:cs="Aptos" w:eastAsia="Aptos"/>
          <w:color w:val="000000"/>
          <w:sz w:val="22"/>
          <w:szCs w:val="22"/>
        </w:rPr>
        <w:t>AMENDMENTS AND ENTIRE AGREEMENT</w:t>
      </w:r>
    </w:p>
    <w:p w14:paraId="7980379B">
      <w:pPr>
        <w:pStyle w:val="ListParagraph"/>
        <w:numPr>
          <w:ilvl w:val="1"/>
          <w:numId w:val="10"/>
        </w:numPr>
      </w:pPr>
      <w:r>
        <w:rPr>
          <w:rFonts w:ascii="Aptos" w:hAnsi="Aptos" w:cs="Aptos" w:eastAsia="Aptos"/>
          <w:color w:val="000000"/>
          <w:sz w:val="22"/>
          <w:szCs w:val="22"/>
        </w:rPr>
        <w:t>This Agreement, together with the Partner Terms, the DPA, and the Annexes hereto, constitutes the entire agreement between the Parties with respect to its subject matter and supersedes all prior negotiations, representations, and understandings.</w:t>
      </w:r>
    </w:p>
    <w:p w14:paraId="447B6C65">
      <w:pPr>
        <w:pStyle w:val="ListParagraph"/>
        <w:numPr>
          <w:ilvl w:val="1"/>
          <w:numId w:val="10"/>
        </w:numPr>
      </w:pPr>
      <w:r>
        <w:rPr>
          <w:rFonts w:ascii="Aptos" w:hAnsi="Aptos" w:cs="Aptos" w:eastAsia="Aptos"/>
          <w:color w:val="000000"/>
          <w:sz w:val="22"/>
          <w:szCs w:val="22"/>
        </w:rPr>
        <w:t>Any amendment to this Agreement must be made in writing and signed by duly authorised representatives of both Parties. Amendments to the Partner Terms are governed by the modification procedure set out therein.</w:t>
      </w:r>
    </w:p>
    <w:p w14:paraId="096D04B9">
      <w:pPr>
        <w:pStyle w:val="ListParagraph"/>
        <w:numPr>
          <w:ilvl w:val="1"/>
          <w:numId w:val="10"/>
        </w:numPr>
      </w:pPr>
      <w:r>
        <w:rPr>
          <w:rFonts w:ascii="Aptos" w:hAnsi="Aptos" w:cs="Aptos" w:eastAsia="Aptos"/>
          <w:color w:val="000000"/>
          <w:sz w:val="22"/>
          <w:szCs w:val="22"/>
        </w:rPr>
        <w:t>This Agreement is governed by the laws of the Republic of Croatia. All disputes arising from or in connection with this Agreement shall be subject to the exclusive jurisdiction of the competent courts in Zagreb, Republic of Croatia.</w:t>
      </w:r>
    </w:p>
    <w:p w14:paraId="4D36AF78">
      <w:pPr>
        <w:pStyle w:val="ListParagraph"/>
        <w:numPr>
          <w:ilvl w:val="1"/>
          <w:numId w:val="10"/>
        </w:numPr>
      </w:pPr>
      <w:r>
        <w:rPr>
          <w:rFonts w:ascii="Aptos" w:hAnsi="Aptos" w:cs="Aptos" w:eastAsia="Aptos"/>
          <w:color w:val="000000"/>
          <w:sz w:val="22"/>
          <w:szCs w:val="22"/>
        </w:rPr>
        <w:t>This Agreement is made available in Croatian and English. In the event of any inconsistency or conflict between the Croatian and English versions, the Croatian version shall prevail.</w:t>
      </w:r>
    </w:p>
    <w:p w14:paraId="11005A37">
      <w:pPr>
        <w:pStyle w:val="ListParagraph"/>
        <w:numPr>
          <w:ilvl w:val="0"/>
          <w:numId w:val="10"/>
        </w:numPr>
      </w:pPr>
      <w:r>
        <w:rPr>
          <w:b/>
          <w:rFonts w:ascii="Aptos" w:hAnsi="Aptos" w:cs="Aptos" w:eastAsia="Aptos"/>
          <w:color w:val="000000"/>
          <w:sz w:val="22"/>
          <w:szCs w:val="22"/>
        </w:rPr>
        <w:t>ANNEXES</w:t>
      </w:r>
    </w:p>
    <w:p w14:paraId="36A7CE95">
      <w:pPr>
        <w:pStyle w:val="ListParagraph"/>
        <w:numPr>
          <w:ilvl w:val="1"/>
          <w:numId w:val="10"/>
        </w:numPr>
      </w:pPr>
      <w:r>
        <w:rPr>
          <w:rFonts w:ascii="Aptos" w:hAnsi="Aptos" w:cs="Aptos" w:eastAsia="Aptos"/>
          <w:color w:val="000000"/>
          <w:sz w:val="22"/>
          <w:szCs w:val="22"/>
        </w:rPr>
        <w:t>The following Annexes form an integral part of this Agreement:</w:t>
      </w:r>
    </w:p>
    <w:p w14:paraId="60A2BAB4">
      <w:pPr>
        <w:pStyle w:val="ListParagraph"/>
        <w:numPr>
          <w:ilvl w:val="0"/>
          <w:numId w:val="16"/>
        </w:numPr>
      </w:pPr>
      <w:r>
        <w:rPr>
          <w:rFonts w:ascii="Aptos" w:hAnsi="Aptos" w:cs="Aptos" w:eastAsia="Aptos"/>
          <w:color w:val="000000"/>
          <w:sz w:val="22"/>
          <w:szCs w:val="22"/>
        </w:rPr>
        <w:t>Annex 1 - Technical Specifications and Module Configuration</w:t>
      </w:r>
    </w:p>
    <w:p w14:paraId="246C6573">
      <w:pPr>
        <w:pStyle w:val="ListParagraph"/>
        <w:numPr>
          <w:ilvl w:val="0"/>
          <w:numId w:val="16"/>
        </w:numPr>
      </w:pPr>
      <w:r>
        <w:rPr>
          <w:rFonts w:ascii="Aptos" w:hAnsi="Aptos" w:cs="Aptos" w:eastAsia="Aptos"/>
          <w:color w:val="000000"/>
          <w:sz w:val="22"/>
          <w:szCs w:val="22"/>
        </w:rPr>
        <w:t>Annex 2 - Special Commercial Arrangements (if applicable)</w:t>
      </w:r>
    </w:p>
    <w:p w14:paraId="68361032">
      <w:pPr>
        <w:pStyle w:val="ListParagraph"/>
        <w:numPr>
          <w:ilvl w:val="0"/>
          <w:numId w:val="16"/>
        </w:numPr>
      </w:pPr>
      <w:r>
        <w:rPr>
          <w:rFonts w:ascii="Aptos" w:hAnsi="Aptos" w:cs="Aptos" w:eastAsia="Aptos"/>
          <w:color w:val="000000"/>
          <w:sz w:val="22"/>
          <w:szCs w:val="22"/>
        </w:rPr>
        <w:t>Annex 3 - Data Processing Agreement (DPA)</w:t>
      </w:r>
    </w:p>
    <w:p w14:paraId="2BFFBAF1">
      <w:pPr>
        <w:pStyle w:val="ListParagraph"/>
      </w:pPr>
      <w:r>
        <w:rPr>
          <w:rFonts w:ascii="Aptos" w:hAnsi="Aptos" w:cs="Aptos" w:eastAsia="Aptos"/>
          <w:color w:val="000000"/>
          <w:sz w:val="22"/>
          <w:szCs w:val="22"/>
        </w:rPr>
        <w:t>IN WITNESS WHEREOF, the duly authorised representatives of the Parties have executed this Agreement as of the date first written above.</w:t>
      </w:r>
    </w:p>
    <w:p w14:paraId="0DEB9C11">
      <w:pPr>
        <w:pStyle w:val="ListParagraph"/>
        <w:jc w:val="right"/>
      </w:pPr>
      <w:r>
        <w:rPr>
          <w:rFonts w:ascii="Aptos" w:hAnsi="Aptos" w:cs="Aptos" w:eastAsia="Aptos"/>
          <w:color w:val="000000"/>
          <w:sz w:val="22"/>
          <w:szCs w:val="22"/>
        </w:rPr>
        <w:t>UTOPIA TECHNOLOGIES d.o.o. PARTNER</w:t>
      </w:r>
    </w:p>
    <w:p w14:paraId="58E6D0DB">
      <w:pPr>
        <w:pStyle w:val="ListParagraph"/>
        <w:jc w:val="right"/>
      </w:pPr>
      <w:r>
        <w:rPr>
          <w:rFonts w:ascii="Aptos" w:hAnsi="Aptos" w:cs="Aptos" w:eastAsia="Aptos"/>
          <w:color w:val="000000"/>
          <w:sz w:val="22"/>
          <w:szCs w:val="22"/>
        </w:rPr>
        <w:t>Name: ____________________________ Name: ____________________________</w:t>
      </w:r>
    </w:p>
    <w:p w14:paraId="1DD8692F">
      <w:pPr>
        <w:pStyle w:val="ListParagraph"/>
        <w:jc w:val="right"/>
      </w:pPr>
      <w:r>
        <w:rPr>
          <w:rFonts w:ascii="Aptos" w:hAnsi="Aptos" w:cs="Aptos" w:eastAsia="Aptos"/>
          <w:color w:val="000000"/>
          <w:sz w:val="22"/>
          <w:szCs w:val="22"/>
        </w:rPr>
        <w:t>Title: ____________________________ Title: ____________________________</w:t>
      </w:r>
    </w:p>
    <w:p w14:paraId="61A213EE">
      <w:pPr>
        <w:pStyle w:val="ListParagraph"/>
        <w:jc w:val="right"/>
      </w:pPr>
      <w:r>
        <w:rPr>
          <w:rFonts w:ascii="Aptos" w:hAnsi="Aptos" w:cs="Aptos" w:eastAsia="Aptos"/>
          <w:color w:val="000000"/>
          <w:sz w:val="22"/>
          <w:szCs w:val="22"/>
        </w:rPr>
        <w:t>Date: ____________________________ Date: ____________________________</w:t>
      </w:r>
    </w:p>
    <w:p w14:paraId="256BBEAD">
      <w:pPr>
        <w:pStyle w:val="ListParagraph"/>
        <w:jc w:val="right"/>
      </w:pPr>
      <w:r>
        <w:rPr>
          <w:rFonts w:ascii="Aptos" w:hAnsi="Aptos" w:cs="Aptos" w:eastAsia="Aptos"/>
          <w:color w:val="000000"/>
          <w:sz w:val="22"/>
          <w:szCs w:val="22"/>
        </w:rPr>
        <w:t>Signature: ________________________ Signature: ________________________</w:t>
      </w:r>
    </w:p>
    <w:sectPr>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hybridMultilevel"/>
    <w:lvl w:ilvl="0">
      <w:start w:val="1"/>
      <w:numFmt w:val="decimal"/>
      <w:lvlText w:val="%1."/>
      <w:lvlJc w:val="left"/>
      <w:pPr>
        <w:ind w:left="720" w:hanging="720"/>
      </w:pPr>
      <w:suff w:val="tab"/>
    </w:lvl>
    <w:lvl w:ilvl="1">
      <w:start w:val="1"/>
      <w:numFmt w:val="decimal"/>
      <w:lvlText w:val="%1.%2."/>
      <w:lvlJc w:val="left"/>
      <w:pPr>
        <w:ind w:left="720" w:hanging="720"/>
      </w:pPr>
      <w:suff w:val="tab"/>
    </w:lvl>
    <w:lvl w:ilvl="2">
      <w:start w:val="1"/>
      <w:numFmt w:val="decimal"/>
      <w:lvlText w:val="%1.%2.%3."/>
      <w:lvlJc w:val="left"/>
      <w:pPr>
        <w:ind w:left="1080" w:hanging="1080"/>
      </w:pPr>
      <w:suff w:val="tab"/>
    </w:lvl>
    <w:lvl w:ilvl="3">
      <w:start w:val="1"/>
      <w:numFmt w:val="decimal"/>
      <w:lvlText w:val="%1.%2.%3.%4."/>
      <w:lvlJc w:val="left"/>
      <w:pPr>
        <w:ind w:left="1440" w:hanging="1440"/>
      </w:pPr>
      <w:suff w:val="tab"/>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removePersonalInformation/>
  <w:removeDateAndTim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lang w:val="en-US" w:eastAsia="en-US" w:bidi="ar-SA"/>
        <w:rFonts w:ascii="Aptos" w:hAnsi="Aptos" w:cs="Aptos" w:eastAsia="Aptos"/>
        <w:color w:val="000000"/>
        <w:sz w:val="22"/>
        <w:szCs w:val="22"/>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jc w:val="both"/>
    </w:pPr>
    <w:rPr>
      <w:rFonts w:ascii="Aptos" w:hAnsi="Aptos" w:cs="Aptos" w:eastAsia="Aptos"/>
      <w:color w:val="000000"/>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jc w:val="left"/>
      <w:outlineLvl w:val="0"/>
    </w:pPr>
    <w:rPr>
      <w:b/>
      <w:bCs/>
      <w:i w:val="0"/>
      <w:rFonts w:ascii="Aptos" w:hAnsi="Aptos" w:cs="Aptos" w:eastAsia="Aptos"/>
      <w:color w:val="000000"/>
      <w:sz w:val="22"/>
      <w:szCs w:val="22"/>
    </w:rPr>
  </w:style>
  <w:style w:type="paragraph" w:styleId="Heading2">
    <w:name w:val="heading 2"/>
    <w:basedOn w:val="Normal"/>
    <w:next w:val="Normal"/>
    <w:link w:val="Heading2Char"/>
    <w:uiPriority w:val="9"/>
    <w:unhideWhenUsed/>
    <w:qFormat/>
    <w:rsid w:val="00FC693F"/>
    <w:pPr>
      <w:keepNext/>
      <w:keepLines/>
      <w:spacing w:before="200" w:after="80"/>
      <w:jc w:val="left"/>
      <w:outlineLvl w:val="1"/>
    </w:pPr>
    <w:rPr>
      <w:b/>
      <w:bCs/>
      <w:i w:val="0"/>
      <w:rFonts w:ascii="Aptos" w:hAnsi="Aptos" w:cs="Aptos" w:eastAsia="Aptos"/>
      <w:color w:val="000000"/>
      <w:sz w:val="22"/>
      <w:szCs w:val="22"/>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b/>
      <w:bCs/>
      <w:i/>
      <w:rFonts w:ascii="Aptos" w:hAnsi="Aptos" w:cs="Aptos" w:eastAsia="Aptos"/>
      <w:color w:val="000000"/>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rFonts w:ascii="Aptos" w:hAnsi="Aptos" w:cs="Aptos" w:eastAsia="Aptos"/>
      <w:color w:val="000000"/>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ptos" w:hAnsi="Aptos" w:cs="Aptos" w:eastAsia="Aptos"/>
      <w:color w:val="000000"/>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rFonts w:ascii="Aptos" w:hAnsi="Aptos" w:cs="Aptos" w:eastAsia="Aptos"/>
      <w:color w:val="000000"/>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rFonts w:ascii="Aptos" w:hAnsi="Aptos" w:cs="Aptos" w:eastAsia="Aptos"/>
      <w:color w:val="000000"/>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ptos" w:hAnsi="Aptos" w:cs="Aptos" w:eastAsia="Aptos"/>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rFonts w:ascii="Aptos" w:hAnsi="Aptos" w:cs="Aptos" w:eastAsia="Apto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rFonts w:ascii="Aptos" w:hAnsi="Aptos" w:cs="Aptos" w:eastAsia="Aptos"/>
      <w:color w:val="000000"/>
      <w:sz w:val="22"/>
      <w:szCs w:val="22"/>
    </w:rPr>
  </w:style>
  <w:style w:type="character" w:customStyle="1" w:styleId="Heading2Char">
    <w:name w:val="Heading 2 Char"/>
    <w:basedOn w:val="DefaultParagraphFont"/>
    <w:link w:val="Heading2"/>
    <w:uiPriority w:val="9"/>
    <w:rsid w:val="00FC693F"/>
    <w:rPr>
      <w:b/>
      <w:bCs/>
      <w:rFonts w:ascii="Aptos" w:hAnsi="Aptos" w:cs="Aptos" w:eastAsia="Aptos"/>
      <w:color w:val="000000"/>
      <w:sz w:val="22"/>
      <w:szCs w:val="22"/>
    </w:rPr>
  </w:style>
  <w:style w:type="character" w:customStyle="1" w:styleId="Heading3Char">
    <w:name w:val="Heading 3 Char"/>
    <w:basedOn w:val="DefaultParagraphFont"/>
    <w:link w:val="Heading3"/>
    <w:uiPriority w:val="9"/>
    <w:rsid w:val="00FC693F"/>
    <w:rPr>
      <w:b/>
      <w:bCs/>
      <w:rFonts w:ascii="Aptos" w:hAnsi="Aptos" w:cs="Aptos" w:eastAsia="Aptos"/>
      <w:color w:val="000000"/>
      <w:sz w:val="22"/>
      <w:szCs w:val="22"/>
    </w:rPr>
  </w:style>
  <w:style w:type="paragraph" w:styleId="Title">
    <w:name w:val="Title"/>
    <w:basedOn w:val="Normal"/>
    <w:next w:val="Normal"/>
    <w:link w:val="TitleChar"/>
    <w:uiPriority w:val="10"/>
    <w:qFormat/>
    <w:rsid w:val="00FC693F"/>
    <w:pPr>
      <w:spacing w:after="240" w:line="240" w:lineRule="auto"/>
      <w:contextualSpacing/>
      <w:jc w:val="center"/>
    </w:pPr>
    <w:rPr>
      <w:b/>
      <w:caps/>
      <w:rFonts w:ascii="Aptos" w:hAnsi="Aptos" w:cs="Aptos" w:eastAsia="Aptos"/>
      <w:color w:val="000000"/>
      <w:sz w:val="22"/>
      <w:szCs w:val="22"/>
    </w:rPr>
  </w:style>
  <w:style w:type="character" w:customStyle="1" w:styleId="TitleChar">
    <w:name w:val="Title Char"/>
    <w:basedOn w:val="DefaultParagraphFont"/>
    <w:link w:val="Title"/>
    <w:uiPriority w:val="10"/>
    <w:rsid w:val="00FC693F"/>
    <w:rPr>
      <w:rFonts w:ascii="Aptos" w:hAnsi="Aptos" w:cs="Aptos" w:eastAsia="Aptos"/>
      <w:color w:val="000000"/>
      <w:sz w:val="22"/>
      <w:szCs w:val="22"/>
    </w:rPr>
  </w:style>
  <w:style w:type="paragraph" w:styleId="Subtitle">
    <w:name w:val="Subtitle"/>
    <w:basedOn w:val="Normal"/>
    <w:next w:val="Normal"/>
    <w:link w:val="SubtitleChar"/>
    <w:uiPriority w:val="11"/>
    <w:qFormat/>
    <w:rsid w:val="00FC693F"/>
    <w:pPr>
      <w:numPr>
        <w:ilvl w:val="1"/>
      </w:numPr>
    </w:pPr>
    <w:rPr>
      <w:i/>
      <w:iCs/>
      <w:rFonts w:ascii="Aptos" w:hAnsi="Aptos" w:cs="Aptos" w:eastAsia="Aptos"/>
      <w:color w:val="000000"/>
      <w:sz w:val="22"/>
      <w:szCs w:val="22"/>
    </w:rPr>
  </w:style>
  <w:style w:type="character" w:customStyle="1" w:styleId="SubtitleChar">
    <w:name w:val="Subtitle Char"/>
    <w:basedOn w:val="DefaultParagraphFont"/>
    <w:link w:val="Subtitle"/>
    <w:uiPriority w:val="11"/>
    <w:rsid w:val="00FC693F"/>
    <w:rPr>
      <w:i/>
      <w:iCs/>
      <w:rFonts w:ascii="Aptos" w:hAnsi="Aptos" w:cs="Aptos" w:eastAsia="Aptos"/>
      <w:color w:val="000000"/>
      <w:sz w:val="22"/>
      <w:szCs w:val="22"/>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ptos" w:hAnsi="Aptos" w:cs="Aptos" w:eastAsia="Aptos"/>
      <w:color w:val="000000"/>
      <w:sz w:val="22"/>
      <w:szCs w:val="22"/>
    </w:rPr>
  </w:style>
  <w:style w:type="character" w:customStyle="1" w:styleId="BodyText3Char">
    <w:name w:val="Body Text 3 Char"/>
    <w:basedOn w:val="DefaultParagraphFont"/>
    <w:link w:val="BodyText3"/>
    <w:uiPriority w:val="99"/>
    <w:rsid w:val="00AA1D8D"/>
    <w:rPr>
      <w:rFonts w:ascii="Aptos" w:hAnsi="Aptos" w:cs="Aptos" w:eastAsia="Aptos"/>
      <w:color w:val="000000"/>
      <w:sz w:val="22"/>
      <w:szCs w:val="22"/>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cs="Aptos" w:eastAsia="Aptos"/>
      <w:color w:val="000000"/>
      <w:sz w:val="22"/>
      <w:szCs w:val="22"/>
    </w:rPr>
  </w:style>
  <w:style w:type="character" w:customStyle="1" w:styleId="MacroTextChar">
    <w:name w:val="Macro Text Char"/>
    <w:basedOn w:val="DefaultParagraphFont"/>
    <w:link w:val="MacroText"/>
    <w:uiPriority w:val="99"/>
    <w:rsid w:val="0029639D"/>
    <w:rPr>
      <w:rFonts w:ascii="Aptos" w:hAnsi="Aptos" w:cs="Aptos" w:eastAsia="Aptos"/>
      <w:color w:val="000000"/>
      <w:sz w:val="22"/>
      <w:szCs w:val="22"/>
    </w:rPr>
  </w:style>
  <w:style w:type="paragraph" w:styleId="Quote">
    <w:name w:val="Quote"/>
    <w:basedOn w:val="Normal"/>
    <w:next w:val="Normal"/>
    <w:link w:val="QuoteChar"/>
    <w:uiPriority w:val="29"/>
    <w:qFormat/>
    <w:rsid w:val="00FC693F"/>
    <w:rPr>
      <w:i/>
      <w:iCs/>
      <w:rFonts w:ascii="Aptos" w:hAnsi="Aptos" w:cs="Aptos" w:eastAsia="Aptos"/>
      <w:color w:val="000000"/>
      <w:sz w:val="22"/>
      <w:szCs w:val="22"/>
    </w:rPr>
  </w:style>
  <w:style w:type="character" w:customStyle="1" w:styleId="QuoteChar">
    <w:name w:val="Quote Char"/>
    <w:basedOn w:val="DefaultParagraphFont"/>
    <w:link w:val="Quote"/>
    <w:uiPriority w:val="29"/>
    <w:rsid w:val="00FC693F"/>
    <w:rPr>
      <w:i/>
      <w:iCs/>
      <w:rFonts w:ascii="Aptos" w:hAnsi="Aptos" w:cs="Aptos" w:eastAsia="Aptos"/>
      <w:color w:val="000000"/>
      <w:sz w:val="22"/>
      <w:szCs w:val="22"/>
    </w:rPr>
  </w:style>
  <w:style w:type="character" w:customStyle="1" w:styleId="Heading4Char">
    <w:name w:val="Heading 4 Char"/>
    <w:basedOn w:val="DefaultParagraphFont"/>
    <w:link w:val="Heading4"/>
    <w:uiPriority w:val="9"/>
    <w:semiHidden/>
    <w:rsid w:val="00FC693F"/>
    <w:rPr>
      <w:b/>
      <w:bCs/>
      <w:i/>
      <w:iCs/>
      <w:rFonts w:ascii="Aptos" w:hAnsi="Aptos" w:cs="Aptos" w:eastAsia="Aptos"/>
      <w:color w:val="000000"/>
      <w:sz w:val="22"/>
      <w:szCs w:val="22"/>
    </w:rPr>
  </w:style>
  <w:style w:type="character" w:customStyle="1" w:styleId="Heading5Char">
    <w:name w:val="Heading 5 Char"/>
    <w:basedOn w:val="DefaultParagraphFont"/>
    <w:link w:val="Heading5"/>
    <w:uiPriority w:val="9"/>
    <w:semiHidden/>
    <w:rsid w:val="00FC693F"/>
    <w:rPr>
      <w:rFonts w:ascii="Aptos" w:hAnsi="Aptos" w:cs="Aptos" w:eastAsia="Aptos"/>
      <w:color w:val="000000"/>
      <w:sz w:val="22"/>
      <w:szCs w:val="22"/>
    </w:rPr>
  </w:style>
  <w:style w:type="character" w:customStyle="1" w:styleId="Heading6Char">
    <w:name w:val="Heading 6 Char"/>
    <w:basedOn w:val="DefaultParagraphFont"/>
    <w:link w:val="Heading6"/>
    <w:uiPriority w:val="9"/>
    <w:semiHidden/>
    <w:rsid w:val="00FC693F"/>
    <w:rPr>
      <w:i/>
      <w:iCs/>
      <w:rFonts w:ascii="Aptos" w:hAnsi="Aptos" w:cs="Aptos" w:eastAsia="Aptos"/>
      <w:color w:val="000000"/>
      <w:sz w:val="22"/>
      <w:szCs w:val="22"/>
    </w:rPr>
  </w:style>
  <w:style w:type="character" w:customStyle="1" w:styleId="Heading7Char">
    <w:name w:val="Heading 7 Char"/>
    <w:basedOn w:val="DefaultParagraphFont"/>
    <w:link w:val="Heading7"/>
    <w:uiPriority w:val="9"/>
    <w:semiHidden/>
    <w:rsid w:val="00FC693F"/>
    <w:rPr>
      <w:i/>
      <w:iCs/>
      <w:rFonts w:ascii="Aptos" w:hAnsi="Aptos" w:cs="Aptos" w:eastAsia="Aptos"/>
      <w:color w:val="000000"/>
      <w:sz w:val="22"/>
      <w:szCs w:val="22"/>
    </w:rPr>
  </w:style>
  <w:style w:type="character" w:customStyle="1" w:styleId="Heading8Char">
    <w:name w:val="Heading 8 Char"/>
    <w:basedOn w:val="DefaultParagraphFont"/>
    <w:link w:val="Heading8"/>
    <w:uiPriority w:val="9"/>
    <w:semiHidden/>
    <w:rsid w:val="00FC693F"/>
    <w:rPr>
      <w:rFonts w:ascii="Aptos" w:hAnsi="Aptos" w:cs="Aptos" w:eastAsia="Aptos"/>
      <w:color w:val="000000"/>
      <w:sz w:val="22"/>
      <w:szCs w:val="22"/>
    </w:rPr>
  </w:style>
  <w:style w:type="character" w:customStyle="1" w:styleId="Heading9Char">
    <w:name w:val="Heading 9 Char"/>
    <w:basedOn w:val="DefaultParagraphFont"/>
    <w:link w:val="Heading9"/>
    <w:uiPriority w:val="9"/>
    <w:semiHidden/>
    <w:rsid w:val="00FC693F"/>
    <w:rPr>
      <w:i/>
      <w:iCs/>
      <w:rFonts w:ascii="Aptos" w:hAnsi="Aptos" w:cs="Aptos" w:eastAsia="Apto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rFonts w:ascii="Aptos" w:hAnsi="Aptos" w:cs="Aptos" w:eastAsia="Aptos"/>
      <w:color w:val="000000"/>
      <w:sz w:val="22"/>
      <w:szCs w:val="22"/>
    </w:rPr>
  </w:style>
  <w:style w:type="character" w:styleId="Strong">
    <w:name w:val="Strong"/>
    <w:basedOn w:val="DefaultParagraphFont"/>
    <w:uiPriority w:val="22"/>
    <w:qFormat/>
    <w:rsid w:val="00FC693F"/>
    <w:rPr>
      <w:b/>
      <w:bCs/>
      <w:rFonts w:ascii="Aptos" w:hAnsi="Aptos" w:cs="Aptos" w:eastAsia="Aptos"/>
      <w:color w:val="000000"/>
      <w:sz w:val="22"/>
      <w:szCs w:val="22"/>
    </w:rPr>
  </w:style>
  <w:style w:type="character" w:styleId="Emphasis">
    <w:name w:val="Emphasis"/>
    <w:basedOn w:val="DefaultParagraphFont"/>
    <w:uiPriority w:val="20"/>
    <w:qFormat/>
    <w:rsid w:val="00FC693F"/>
    <w:rPr>
      <w:i/>
      <w:iCs/>
      <w:rFonts w:ascii="Aptos" w:hAnsi="Aptos" w:cs="Aptos" w:eastAsia="Aptos"/>
      <w:color w:val="000000"/>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Fonts w:ascii="Aptos" w:hAnsi="Aptos" w:cs="Aptos" w:eastAsia="Aptos"/>
      <w:color w:val="000000"/>
      <w:sz w:val="22"/>
      <w:szCs w:val="22"/>
    </w:rPr>
  </w:style>
  <w:style w:type="character" w:customStyle="1" w:styleId="IntenseQuoteChar">
    <w:name w:val="Intense Quote Char"/>
    <w:basedOn w:val="DefaultParagraphFont"/>
    <w:link w:val="IntenseQuote"/>
    <w:uiPriority w:val="30"/>
    <w:rsid w:val="00FC693F"/>
    <w:rPr>
      <w:b/>
      <w:bCs/>
      <w:i/>
      <w:iCs/>
      <w:rFonts w:ascii="Aptos" w:hAnsi="Aptos" w:cs="Aptos" w:eastAsia="Aptos"/>
      <w:color w:val="000000"/>
      <w:sz w:val="22"/>
      <w:szCs w:val="22"/>
    </w:rPr>
  </w:style>
  <w:style w:type="character" w:styleId="SubtleEmphasis">
    <w:name w:val="Subtle Emphasis"/>
    <w:basedOn w:val="DefaultParagraphFont"/>
    <w:uiPriority w:val="19"/>
    <w:qFormat/>
    <w:rsid w:val="00FC693F"/>
    <w:rPr>
      <w:i/>
      <w:iCs/>
      <w:rFonts w:ascii="Aptos" w:hAnsi="Aptos" w:cs="Aptos" w:eastAsia="Aptos"/>
      <w:color w:val="000000"/>
      <w:sz w:val="22"/>
      <w:szCs w:val="22"/>
    </w:rPr>
  </w:style>
  <w:style w:type="character" w:styleId="IntenseEmphasis">
    <w:name w:val="Intense Emphasis"/>
    <w:basedOn w:val="DefaultParagraphFont"/>
    <w:uiPriority w:val="21"/>
    <w:qFormat/>
    <w:rsid w:val="00FC693F"/>
    <w:rPr>
      <w:b/>
      <w:bCs/>
      <w:i/>
      <w:iCs/>
      <w:rFonts w:ascii="Aptos" w:hAnsi="Aptos" w:cs="Aptos" w:eastAsia="Aptos"/>
      <w:color w:val="000000"/>
      <w:sz w:val="22"/>
      <w:szCs w:val="22"/>
    </w:rPr>
  </w:style>
  <w:style w:type="character" w:styleId="SubtleReference">
    <w:name w:val="Subtle Reference"/>
    <w:basedOn w:val="DefaultParagraphFont"/>
    <w:uiPriority w:val="31"/>
    <w:qFormat/>
    <w:rsid w:val="00FC693F"/>
    <w:rPr>
      <w:smallCaps/>
      <w:rFonts w:ascii="Aptos" w:hAnsi="Aptos" w:cs="Aptos" w:eastAsia="Aptos"/>
      <w:color w:val="000000"/>
      <w:sz w:val="22"/>
      <w:szCs w:val="22"/>
    </w:rPr>
  </w:style>
  <w:style w:type="character" w:styleId="IntenseReference">
    <w:name w:val="Intense Reference"/>
    <w:basedOn w:val="DefaultParagraphFont"/>
    <w:uiPriority w:val="32"/>
    <w:qFormat/>
    <w:rsid w:val="00FC693F"/>
    <w:rPr>
      <w:b/>
      <w:bCs/>
      <w:smallCaps/>
      <w:rFonts w:ascii="Aptos" w:hAnsi="Aptos" w:cs="Aptos" w:eastAsia="Aptos"/>
      <w:color w:val="000000"/>
      <w:sz w:val="22"/>
      <w:szCs w:val="22"/>
    </w:rPr>
  </w:style>
  <w:style w:type="character" w:styleId="BookTitle">
    <w:name w:val="Book Title"/>
    <w:basedOn w:val="DefaultParagraphFont"/>
    <w:uiPriority w:val="33"/>
    <w:qFormat/>
    <w:rsid w:val="00FC693F"/>
    <w:rPr>
      <w:b/>
      <w:bCs/>
      <w:smallCaps/>
      <w:rFonts w:ascii="Aptos" w:hAnsi="Aptos" w:cs="Aptos" w:eastAsia="Aptos"/>
      <w:color w:val="000000"/>
      <w:sz w:val="22"/>
      <w:szCs w:val="22"/>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a:ea typeface="Aptos"/>
        <a:cs typeface="Apto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Aptos"/>
        <a:cs typeface="Apto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PLEIS Partner Service Agreement</dc:title>
  <dc:subject/>
  <dc:creator>Martin Hren</dc:creator>
  <cp:keywords/>
  <dc:description/>
  <cp:lastModifiedBy>Martin Hren</cp:lastModifiedBy>
  <cp:revision>1</cp:revision>
  <dcterms:created xsi:type="dcterms:W3CDTF">2026-09-16T10:12:00Z</dcterms:created>
  <dcterms:modified xsi:type="dcterms:W3CDTF">2026-09-16T10:12:00Z</dcterms:modified>
</cp:coreProperties>
</file>